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CF750" w14:textId="76755CDA" w:rsidR="00347931" w:rsidRPr="00730694" w:rsidRDefault="00347931" w:rsidP="00FB74C2">
      <w:pPr>
        <w:autoSpaceDE w:val="0"/>
        <w:autoSpaceDN w:val="0"/>
        <w:adjustRightInd w:val="0"/>
        <w:spacing w:after="0" w:line="240" w:lineRule="auto"/>
        <w:jc w:val="center"/>
        <w:outlineLvl w:val="0"/>
        <w:rPr>
          <w:b/>
          <w:bCs/>
          <w:sz w:val="22"/>
          <w:szCs w:val="22"/>
        </w:rPr>
      </w:pPr>
      <w:r w:rsidRPr="00730694">
        <w:rPr>
          <w:b/>
          <w:bCs/>
          <w:sz w:val="22"/>
          <w:szCs w:val="22"/>
        </w:rPr>
        <w:t>REQUEST FOR STATEMENTS OF INTEREST</w:t>
      </w:r>
    </w:p>
    <w:p w14:paraId="34F804E9" w14:textId="29E7645F" w:rsidR="002B4D11" w:rsidRPr="00730694" w:rsidRDefault="002B4D11" w:rsidP="00FB74C2">
      <w:pPr>
        <w:autoSpaceDE w:val="0"/>
        <w:autoSpaceDN w:val="0"/>
        <w:adjustRightInd w:val="0"/>
        <w:spacing w:after="0" w:line="240" w:lineRule="auto"/>
        <w:jc w:val="center"/>
        <w:outlineLvl w:val="0"/>
        <w:rPr>
          <w:b/>
          <w:bCs/>
          <w:sz w:val="22"/>
          <w:szCs w:val="22"/>
        </w:rPr>
      </w:pPr>
      <w:r w:rsidRPr="00730694">
        <w:rPr>
          <w:b/>
          <w:bCs/>
          <w:sz w:val="22"/>
          <w:szCs w:val="22"/>
        </w:rPr>
        <w:t>WITHIN THE COOPERATIVE ECOSYSTEM STUDIES UNIT</w:t>
      </w:r>
    </w:p>
    <w:p w14:paraId="6D68A71B" w14:textId="42BE9327" w:rsidR="00347931" w:rsidRPr="00730694" w:rsidRDefault="00FB74C2" w:rsidP="00496045">
      <w:pPr>
        <w:autoSpaceDE w:val="0"/>
        <w:autoSpaceDN w:val="0"/>
        <w:adjustRightInd w:val="0"/>
        <w:spacing w:after="0" w:line="240" w:lineRule="auto"/>
        <w:ind w:left="-720" w:firstLine="720"/>
        <w:jc w:val="center"/>
        <w:outlineLvl w:val="0"/>
        <w:rPr>
          <w:b/>
          <w:bCs/>
          <w:sz w:val="22"/>
          <w:szCs w:val="22"/>
        </w:rPr>
      </w:pPr>
      <w:r w:rsidRPr="00730694">
        <w:rPr>
          <w:b/>
          <w:bCs/>
          <w:sz w:val="22"/>
          <w:szCs w:val="22"/>
        </w:rPr>
        <w:t>N</w:t>
      </w:r>
      <w:r w:rsidR="00347931" w:rsidRPr="00730694">
        <w:rPr>
          <w:b/>
          <w:bCs/>
          <w:sz w:val="22"/>
          <w:szCs w:val="22"/>
        </w:rPr>
        <w:t xml:space="preserve">UMBER </w:t>
      </w:r>
      <w:r w:rsidR="00730694" w:rsidRPr="00730694">
        <w:rPr>
          <w:b/>
          <w:bCs/>
          <w:sz w:val="22"/>
          <w:szCs w:val="22"/>
        </w:rPr>
        <w:t>N62473</w:t>
      </w:r>
      <w:r w:rsidR="00AF6B1B" w:rsidRPr="00730694">
        <w:rPr>
          <w:b/>
          <w:bCs/>
          <w:sz w:val="22"/>
          <w:szCs w:val="22"/>
        </w:rPr>
        <w:t>-</w:t>
      </w:r>
      <w:r w:rsidR="00730694" w:rsidRPr="00730694">
        <w:rPr>
          <w:b/>
          <w:bCs/>
          <w:sz w:val="22"/>
          <w:szCs w:val="22"/>
        </w:rPr>
        <w:t>20</w:t>
      </w:r>
      <w:r w:rsidR="00AF6B1B" w:rsidRPr="00730694">
        <w:rPr>
          <w:b/>
          <w:bCs/>
          <w:sz w:val="22"/>
          <w:szCs w:val="22"/>
        </w:rPr>
        <w:t>-</w:t>
      </w:r>
      <w:r w:rsidR="00730694" w:rsidRPr="00730694">
        <w:rPr>
          <w:b/>
          <w:bCs/>
          <w:sz w:val="22"/>
          <w:szCs w:val="22"/>
        </w:rPr>
        <w:t>2</w:t>
      </w:r>
      <w:r w:rsidR="00AF6B1B" w:rsidRPr="00730694">
        <w:rPr>
          <w:b/>
          <w:bCs/>
          <w:sz w:val="22"/>
          <w:szCs w:val="22"/>
        </w:rPr>
        <w:t>-</w:t>
      </w:r>
      <w:r w:rsidR="00730694" w:rsidRPr="00730694">
        <w:rPr>
          <w:b/>
          <w:bCs/>
          <w:sz w:val="22"/>
          <w:szCs w:val="22"/>
        </w:rPr>
        <w:t>0001</w:t>
      </w:r>
    </w:p>
    <w:p w14:paraId="62DF9823" w14:textId="31A58F96" w:rsidR="00347931" w:rsidRPr="00730694" w:rsidRDefault="00A063C1">
      <w:pPr>
        <w:autoSpaceDE w:val="0"/>
        <w:autoSpaceDN w:val="0"/>
        <w:adjustRightInd w:val="0"/>
        <w:spacing w:after="0" w:line="240" w:lineRule="auto"/>
        <w:jc w:val="center"/>
        <w:outlineLvl w:val="0"/>
        <w:rPr>
          <w:b/>
          <w:bCs/>
          <w:sz w:val="22"/>
          <w:szCs w:val="22"/>
        </w:rPr>
      </w:pPr>
      <w:r w:rsidRPr="00730694">
        <w:rPr>
          <w:b/>
          <w:bCs/>
          <w:sz w:val="22"/>
          <w:szCs w:val="22"/>
        </w:rPr>
        <w:t xml:space="preserve">PROJECT TO BE INITIATED IN </w:t>
      </w:r>
      <w:r w:rsidR="00EA4276" w:rsidRPr="00730694">
        <w:rPr>
          <w:b/>
          <w:bCs/>
          <w:sz w:val="22"/>
          <w:szCs w:val="22"/>
        </w:rPr>
        <w:t>2020</w:t>
      </w:r>
    </w:p>
    <w:p w14:paraId="36DC751F" w14:textId="77777777" w:rsidR="00347931" w:rsidRPr="00730694" w:rsidRDefault="00347931" w:rsidP="00820561">
      <w:pPr>
        <w:autoSpaceDE w:val="0"/>
        <w:autoSpaceDN w:val="0"/>
        <w:adjustRightInd w:val="0"/>
        <w:spacing w:after="0" w:line="240" w:lineRule="auto"/>
        <w:jc w:val="center"/>
        <w:rPr>
          <w:b/>
          <w:bCs/>
          <w:sz w:val="22"/>
          <w:szCs w:val="22"/>
        </w:rPr>
      </w:pPr>
    </w:p>
    <w:p w14:paraId="59F5C0B2" w14:textId="0CDDAF01" w:rsidR="00347931" w:rsidRPr="00730694" w:rsidRDefault="00347931" w:rsidP="00820561">
      <w:pPr>
        <w:autoSpaceDE w:val="0"/>
        <w:autoSpaceDN w:val="0"/>
        <w:adjustRightInd w:val="0"/>
        <w:spacing w:line="240" w:lineRule="auto"/>
        <w:jc w:val="center"/>
        <w:rPr>
          <w:b/>
          <w:bCs/>
          <w:sz w:val="22"/>
          <w:szCs w:val="22"/>
        </w:rPr>
      </w:pPr>
      <w:r w:rsidRPr="00730694">
        <w:rPr>
          <w:b/>
          <w:bCs/>
          <w:sz w:val="22"/>
          <w:szCs w:val="22"/>
        </w:rPr>
        <w:t xml:space="preserve">Project Title: </w:t>
      </w:r>
      <w:r w:rsidR="00E16386" w:rsidRPr="00730694">
        <w:rPr>
          <w:b/>
          <w:bCs/>
          <w:caps/>
          <w:sz w:val="22"/>
          <w:szCs w:val="22"/>
        </w:rPr>
        <w:t>TELEMETRY AND GENETIC IDENTITY OF CHINOOK SALMON IN ALASKA</w:t>
      </w:r>
    </w:p>
    <w:p w14:paraId="45632AC9" w14:textId="73F65583" w:rsidR="005D5F8B" w:rsidRPr="00730694" w:rsidRDefault="00347931" w:rsidP="00820561">
      <w:pPr>
        <w:autoSpaceDE w:val="0"/>
        <w:autoSpaceDN w:val="0"/>
        <w:adjustRightInd w:val="0"/>
        <w:spacing w:after="0" w:line="240" w:lineRule="auto"/>
        <w:rPr>
          <w:sz w:val="22"/>
          <w:szCs w:val="22"/>
        </w:rPr>
      </w:pPr>
      <w:r w:rsidRPr="00730694">
        <w:rPr>
          <w:sz w:val="22"/>
          <w:szCs w:val="22"/>
        </w:rPr>
        <w:t xml:space="preserve">Responses to this Request for Statements of Interest </w:t>
      </w:r>
      <w:r w:rsidR="00A15D7B" w:rsidRPr="00730694">
        <w:rPr>
          <w:sz w:val="22"/>
          <w:szCs w:val="22"/>
        </w:rPr>
        <w:t xml:space="preserve">(RSOI) </w:t>
      </w:r>
      <w:r w:rsidRPr="00730694">
        <w:rPr>
          <w:sz w:val="22"/>
          <w:szCs w:val="22"/>
        </w:rPr>
        <w:t xml:space="preserve">will be used to identify potential projects to be funded by the </w:t>
      </w:r>
      <w:r w:rsidR="0053185B" w:rsidRPr="00730694">
        <w:rPr>
          <w:sz w:val="22"/>
          <w:szCs w:val="22"/>
        </w:rPr>
        <w:t>Department of the Navy</w:t>
      </w:r>
      <w:r w:rsidR="00FB74C2" w:rsidRPr="00730694">
        <w:rPr>
          <w:sz w:val="22"/>
          <w:szCs w:val="22"/>
        </w:rPr>
        <w:t xml:space="preserve"> (DoN)</w:t>
      </w:r>
      <w:r w:rsidR="0053185B" w:rsidRPr="00730694">
        <w:rPr>
          <w:sz w:val="22"/>
          <w:szCs w:val="22"/>
        </w:rPr>
        <w:t xml:space="preserve"> </w:t>
      </w:r>
      <w:r w:rsidRPr="00730694">
        <w:rPr>
          <w:sz w:val="22"/>
          <w:szCs w:val="22"/>
        </w:rPr>
        <w:t xml:space="preserve">in support </w:t>
      </w:r>
      <w:r w:rsidR="00A063C1" w:rsidRPr="00730694">
        <w:rPr>
          <w:sz w:val="22"/>
          <w:szCs w:val="22"/>
        </w:rPr>
        <w:t xml:space="preserve">of </w:t>
      </w:r>
      <w:r w:rsidR="00AB3EAE" w:rsidRPr="00730694">
        <w:rPr>
          <w:sz w:val="22"/>
          <w:szCs w:val="22"/>
        </w:rPr>
        <w:t>surveys</w:t>
      </w:r>
      <w:r w:rsidR="00A063C1" w:rsidRPr="00730694">
        <w:rPr>
          <w:sz w:val="22"/>
          <w:szCs w:val="22"/>
        </w:rPr>
        <w:t xml:space="preserve"> and management of </w:t>
      </w:r>
      <w:r w:rsidR="00D8319B" w:rsidRPr="00730694">
        <w:rPr>
          <w:sz w:val="22"/>
          <w:szCs w:val="22"/>
        </w:rPr>
        <w:t xml:space="preserve">the fish species Chinook Salmon </w:t>
      </w:r>
      <w:r w:rsidR="00FA6A6D" w:rsidRPr="00730694">
        <w:rPr>
          <w:sz w:val="22"/>
          <w:szCs w:val="22"/>
        </w:rPr>
        <w:t>(</w:t>
      </w:r>
      <w:r w:rsidR="00D8319B" w:rsidRPr="00730694">
        <w:rPr>
          <w:i/>
          <w:sz w:val="22"/>
          <w:szCs w:val="22"/>
          <w:lang w:eastAsia="ja-JP"/>
        </w:rPr>
        <w:t>Oncorhynchus tshawytscha</w:t>
      </w:r>
      <w:r w:rsidR="00FA6A6D" w:rsidRPr="00730694">
        <w:rPr>
          <w:sz w:val="22"/>
          <w:szCs w:val="22"/>
          <w:lang w:eastAsia="ja-JP"/>
        </w:rPr>
        <w:t>)</w:t>
      </w:r>
      <w:r w:rsidR="00D8319B" w:rsidRPr="00730694">
        <w:rPr>
          <w:sz w:val="22"/>
          <w:szCs w:val="22"/>
        </w:rPr>
        <w:t xml:space="preserve">, which is </w:t>
      </w:r>
      <w:r w:rsidR="00A063C1" w:rsidRPr="00730694">
        <w:rPr>
          <w:sz w:val="22"/>
          <w:szCs w:val="22"/>
        </w:rPr>
        <w:t xml:space="preserve">subject to the </w:t>
      </w:r>
      <w:r w:rsidR="00A816B0" w:rsidRPr="00730694">
        <w:rPr>
          <w:bCs/>
          <w:sz w:val="22"/>
          <w:szCs w:val="22"/>
        </w:rPr>
        <w:t>U</w:t>
      </w:r>
      <w:r w:rsidR="00FB74C2" w:rsidRPr="00730694">
        <w:rPr>
          <w:bCs/>
          <w:sz w:val="22"/>
          <w:szCs w:val="22"/>
        </w:rPr>
        <w:t>nited States (U.S</w:t>
      </w:r>
      <w:r w:rsidR="009A5E0C" w:rsidRPr="00730694">
        <w:rPr>
          <w:bCs/>
          <w:sz w:val="22"/>
          <w:szCs w:val="22"/>
        </w:rPr>
        <w:t>.</w:t>
      </w:r>
      <w:r w:rsidR="00FB74C2" w:rsidRPr="00730694">
        <w:rPr>
          <w:bCs/>
          <w:sz w:val="22"/>
          <w:szCs w:val="22"/>
        </w:rPr>
        <w:t xml:space="preserve">) </w:t>
      </w:r>
      <w:r w:rsidR="00A816B0" w:rsidRPr="00730694">
        <w:rPr>
          <w:bCs/>
          <w:sz w:val="22"/>
          <w:szCs w:val="22"/>
        </w:rPr>
        <w:t xml:space="preserve">Endangered Species Act </w:t>
      </w:r>
      <w:r w:rsidR="00FB74C2" w:rsidRPr="00730694">
        <w:rPr>
          <w:bCs/>
          <w:sz w:val="22"/>
          <w:szCs w:val="22"/>
        </w:rPr>
        <w:t xml:space="preserve">(ESA) </w:t>
      </w:r>
      <w:r w:rsidR="00A816B0" w:rsidRPr="00730694">
        <w:rPr>
          <w:bCs/>
          <w:sz w:val="22"/>
          <w:szCs w:val="22"/>
        </w:rPr>
        <w:t xml:space="preserve">of 1973, as amended (16 U.S.C. 1531 </w:t>
      </w:r>
      <w:r w:rsidR="00A816B0" w:rsidRPr="00730694">
        <w:rPr>
          <w:bCs/>
          <w:i/>
          <w:sz w:val="22"/>
          <w:szCs w:val="22"/>
        </w:rPr>
        <w:t>et seq</w:t>
      </w:r>
      <w:r w:rsidR="00A816B0" w:rsidRPr="00730694">
        <w:rPr>
          <w:bCs/>
          <w:sz w:val="22"/>
          <w:szCs w:val="22"/>
        </w:rPr>
        <w:t>.)</w:t>
      </w:r>
      <w:r w:rsidR="00A063C1" w:rsidRPr="00730694">
        <w:rPr>
          <w:sz w:val="22"/>
          <w:szCs w:val="22"/>
        </w:rPr>
        <w:t xml:space="preserve">, within or in the vicinity of the waters of the U.S. Navy’s </w:t>
      </w:r>
      <w:r w:rsidR="00A816B0" w:rsidRPr="00730694">
        <w:rPr>
          <w:sz w:val="22"/>
          <w:szCs w:val="22"/>
        </w:rPr>
        <w:t>study areas for the Gulf of Alaska Temporary Maritime Activities Area (G</w:t>
      </w:r>
      <w:r w:rsidR="00FC18AE" w:rsidRPr="00730694">
        <w:rPr>
          <w:sz w:val="22"/>
          <w:szCs w:val="22"/>
        </w:rPr>
        <w:t>o</w:t>
      </w:r>
      <w:r w:rsidR="00A816B0" w:rsidRPr="00730694">
        <w:rPr>
          <w:sz w:val="22"/>
          <w:szCs w:val="22"/>
        </w:rPr>
        <w:t>A TMAA).</w:t>
      </w:r>
    </w:p>
    <w:p w14:paraId="62CC23E7" w14:textId="4C34428F" w:rsidR="00800E98" w:rsidRPr="00730694" w:rsidRDefault="00800E98" w:rsidP="00820561">
      <w:pPr>
        <w:autoSpaceDE w:val="0"/>
        <w:autoSpaceDN w:val="0"/>
        <w:adjustRightInd w:val="0"/>
        <w:spacing w:after="0" w:line="240" w:lineRule="auto"/>
        <w:rPr>
          <w:sz w:val="22"/>
          <w:szCs w:val="22"/>
        </w:rPr>
      </w:pPr>
    </w:p>
    <w:p w14:paraId="43EE5ACF" w14:textId="27AE58C0" w:rsidR="00347931" w:rsidRPr="00730694" w:rsidRDefault="00407E4B" w:rsidP="00820561">
      <w:pPr>
        <w:autoSpaceDE w:val="0"/>
        <w:autoSpaceDN w:val="0"/>
        <w:adjustRightInd w:val="0"/>
        <w:spacing w:after="0" w:line="240" w:lineRule="auto"/>
        <w:rPr>
          <w:sz w:val="22"/>
          <w:szCs w:val="22"/>
        </w:rPr>
      </w:pPr>
      <w:r w:rsidRPr="00730694">
        <w:rPr>
          <w:sz w:val="22"/>
          <w:szCs w:val="22"/>
        </w:rPr>
        <w:t>The approximate amounts are</w:t>
      </w:r>
      <w:r w:rsidR="00347931" w:rsidRPr="00730694">
        <w:rPr>
          <w:sz w:val="22"/>
          <w:szCs w:val="22"/>
        </w:rPr>
        <w:t xml:space="preserve"> expected to be avail</w:t>
      </w:r>
      <w:r w:rsidR="0053185B" w:rsidRPr="00730694">
        <w:rPr>
          <w:sz w:val="22"/>
          <w:szCs w:val="22"/>
        </w:rPr>
        <w:t xml:space="preserve">able to support </w:t>
      </w:r>
      <w:r w:rsidR="002B4D11" w:rsidRPr="00730694">
        <w:rPr>
          <w:sz w:val="22"/>
          <w:szCs w:val="22"/>
        </w:rPr>
        <w:t>the base requirements of this project</w:t>
      </w:r>
      <w:r w:rsidR="00347931" w:rsidRPr="00730694">
        <w:rPr>
          <w:sz w:val="22"/>
          <w:szCs w:val="22"/>
        </w:rPr>
        <w:t xml:space="preserve">. </w:t>
      </w:r>
    </w:p>
    <w:p w14:paraId="668F7C50" w14:textId="0EDA5C93" w:rsidR="00FB74C2" w:rsidRPr="00730694" w:rsidRDefault="00FB74C2" w:rsidP="00820561">
      <w:pPr>
        <w:autoSpaceDE w:val="0"/>
        <w:autoSpaceDN w:val="0"/>
        <w:adjustRightInd w:val="0"/>
        <w:spacing w:after="0" w:line="240" w:lineRule="auto"/>
        <w:rPr>
          <w:sz w:val="22"/>
          <w:szCs w:val="22"/>
        </w:rPr>
      </w:pPr>
    </w:p>
    <w:tbl>
      <w:tblPr>
        <w:tblStyle w:val="TableGrid"/>
        <w:tblW w:w="0" w:type="auto"/>
        <w:tblLook w:val="04A0" w:firstRow="1" w:lastRow="0" w:firstColumn="1" w:lastColumn="0" w:noHBand="0" w:noVBand="1"/>
      </w:tblPr>
      <w:tblGrid>
        <w:gridCol w:w="4677"/>
        <w:gridCol w:w="4673"/>
      </w:tblGrid>
      <w:tr w:rsidR="00FB74C2" w:rsidRPr="00730694" w14:paraId="52577BB2" w14:textId="77777777" w:rsidTr="00572598">
        <w:tc>
          <w:tcPr>
            <w:tcW w:w="4675" w:type="dxa"/>
          </w:tcPr>
          <w:p w14:paraId="3FA70479" w14:textId="3440E034" w:rsidR="00FB74C2" w:rsidRPr="00730694" w:rsidRDefault="009378D1" w:rsidP="00572598">
            <w:pPr>
              <w:autoSpaceDE w:val="0"/>
              <w:autoSpaceDN w:val="0"/>
              <w:adjustRightInd w:val="0"/>
              <w:spacing w:after="0" w:line="240" w:lineRule="auto"/>
              <w:jc w:val="center"/>
              <w:rPr>
                <w:b/>
                <w:sz w:val="22"/>
                <w:szCs w:val="22"/>
              </w:rPr>
            </w:pPr>
            <w:r w:rsidRPr="00730694">
              <w:rPr>
                <w:b/>
                <w:sz w:val="22"/>
                <w:szCs w:val="22"/>
              </w:rPr>
              <w:t>Option Item</w:t>
            </w:r>
          </w:p>
        </w:tc>
        <w:tc>
          <w:tcPr>
            <w:tcW w:w="4675" w:type="dxa"/>
          </w:tcPr>
          <w:p w14:paraId="05636CF4" w14:textId="6D62AC70" w:rsidR="00FB74C2" w:rsidRPr="00730694" w:rsidRDefault="00FB74C2" w:rsidP="00572598">
            <w:pPr>
              <w:autoSpaceDE w:val="0"/>
              <w:autoSpaceDN w:val="0"/>
              <w:adjustRightInd w:val="0"/>
              <w:spacing w:after="0" w:line="240" w:lineRule="auto"/>
              <w:jc w:val="center"/>
              <w:rPr>
                <w:b/>
                <w:sz w:val="22"/>
                <w:szCs w:val="22"/>
              </w:rPr>
            </w:pPr>
            <w:r w:rsidRPr="00730694">
              <w:rPr>
                <w:b/>
                <w:sz w:val="22"/>
                <w:szCs w:val="22"/>
              </w:rPr>
              <w:t>Estimated Available Funding</w:t>
            </w:r>
          </w:p>
        </w:tc>
      </w:tr>
      <w:tr w:rsidR="00FB74C2" w:rsidRPr="00730694" w14:paraId="0C1DB03A" w14:textId="77777777" w:rsidTr="00572598">
        <w:tc>
          <w:tcPr>
            <w:tcW w:w="4675" w:type="dxa"/>
          </w:tcPr>
          <w:p w14:paraId="01313834" w14:textId="4574C00D" w:rsidR="00FB74C2" w:rsidRPr="00730694" w:rsidRDefault="00FB74C2" w:rsidP="00572598">
            <w:pPr>
              <w:autoSpaceDE w:val="0"/>
              <w:autoSpaceDN w:val="0"/>
              <w:adjustRightInd w:val="0"/>
              <w:spacing w:after="0" w:line="240" w:lineRule="auto"/>
              <w:rPr>
                <w:sz w:val="22"/>
                <w:szCs w:val="22"/>
              </w:rPr>
            </w:pPr>
            <w:r w:rsidRPr="00730694">
              <w:rPr>
                <w:sz w:val="22"/>
                <w:szCs w:val="22"/>
              </w:rPr>
              <w:t>Base Period</w:t>
            </w:r>
          </w:p>
        </w:tc>
        <w:tc>
          <w:tcPr>
            <w:tcW w:w="4675" w:type="dxa"/>
          </w:tcPr>
          <w:p w14:paraId="5845E2E1" w14:textId="416E0162" w:rsidR="00FB74C2" w:rsidRPr="00730694" w:rsidRDefault="00411E02" w:rsidP="00572598">
            <w:pPr>
              <w:autoSpaceDE w:val="0"/>
              <w:autoSpaceDN w:val="0"/>
              <w:adjustRightInd w:val="0"/>
              <w:spacing w:after="0" w:line="240" w:lineRule="auto"/>
              <w:rPr>
                <w:sz w:val="22"/>
                <w:szCs w:val="22"/>
              </w:rPr>
            </w:pPr>
            <w:r w:rsidRPr="00730694">
              <w:rPr>
                <w:sz w:val="22"/>
                <w:szCs w:val="22"/>
              </w:rPr>
              <w:t>$</w:t>
            </w:r>
            <w:r w:rsidR="00110A4A" w:rsidRPr="00730694">
              <w:rPr>
                <w:sz w:val="22"/>
                <w:szCs w:val="22"/>
              </w:rPr>
              <w:t>199,676.24 -- $221,862.49</w:t>
            </w:r>
          </w:p>
        </w:tc>
      </w:tr>
      <w:tr w:rsidR="00FB74C2" w:rsidRPr="00730694" w14:paraId="5059EB55" w14:textId="77777777" w:rsidTr="00572598">
        <w:tc>
          <w:tcPr>
            <w:tcW w:w="4675" w:type="dxa"/>
          </w:tcPr>
          <w:p w14:paraId="69FE61E2" w14:textId="7755A405" w:rsidR="00FB74C2" w:rsidRPr="00730694" w:rsidRDefault="00FB74C2" w:rsidP="009378D1">
            <w:pPr>
              <w:autoSpaceDE w:val="0"/>
              <w:autoSpaceDN w:val="0"/>
              <w:adjustRightInd w:val="0"/>
              <w:spacing w:after="0" w:line="240" w:lineRule="auto"/>
              <w:rPr>
                <w:sz w:val="22"/>
                <w:szCs w:val="22"/>
              </w:rPr>
            </w:pPr>
            <w:r w:rsidRPr="00730694">
              <w:rPr>
                <w:sz w:val="22"/>
                <w:szCs w:val="22"/>
              </w:rPr>
              <w:t xml:space="preserve">Option </w:t>
            </w:r>
            <w:r w:rsidR="009378D1" w:rsidRPr="00730694">
              <w:rPr>
                <w:sz w:val="22"/>
                <w:szCs w:val="22"/>
              </w:rPr>
              <w:t xml:space="preserve">Item </w:t>
            </w:r>
            <w:r w:rsidRPr="00730694">
              <w:rPr>
                <w:sz w:val="22"/>
                <w:szCs w:val="22"/>
              </w:rPr>
              <w:t>1</w:t>
            </w:r>
          </w:p>
        </w:tc>
        <w:tc>
          <w:tcPr>
            <w:tcW w:w="4675" w:type="dxa"/>
          </w:tcPr>
          <w:p w14:paraId="5EFDF982" w14:textId="7B4F2C20" w:rsidR="00FB74C2" w:rsidRPr="00730694" w:rsidRDefault="00110A4A" w:rsidP="00572598">
            <w:pPr>
              <w:autoSpaceDE w:val="0"/>
              <w:autoSpaceDN w:val="0"/>
              <w:adjustRightInd w:val="0"/>
              <w:spacing w:after="0" w:line="240" w:lineRule="auto"/>
              <w:rPr>
                <w:sz w:val="22"/>
                <w:szCs w:val="22"/>
              </w:rPr>
            </w:pPr>
            <w:r w:rsidRPr="00730694">
              <w:rPr>
                <w:sz w:val="22"/>
                <w:szCs w:val="22"/>
              </w:rPr>
              <w:t>$199,676.24 -- $221,862.49</w:t>
            </w:r>
          </w:p>
        </w:tc>
      </w:tr>
      <w:tr w:rsidR="00FB74C2" w:rsidRPr="00730694" w14:paraId="1E298FF6" w14:textId="77777777" w:rsidTr="00572598">
        <w:tc>
          <w:tcPr>
            <w:tcW w:w="4675" w:type="dxa"/>
          </w:tcPr>
          <w:p w14:paraId="24A6066E" w14:textId="75CCCAD4" w:rsidR="00FB74C2" w:rsidRPr="00730694" w:rsidRDefault="00FB74C2" w:rsidP="009378D1">
            <w:pPr>
              <w:autoSpaceDE w:val="0"/>
              <w:autoSpaceDN w:val="0"/>
              <w:adjustRightInd w:val="0"/>
              <w:spacing w:after="0" w:line="240" w:lineRule="auto"/>
              <w:rPr>
                <w:sz w:val="22"/>
                <w:szCs w:val="22"/>
              </w:rPr>
            </w:pPr>
            <w:r w:rsidRPr="00730694">
              <w:rPr>
                <w:sz w:val="22"/>
                <w:szCs w:val="22"/>
              </w:rPr>
              <w:t xml:space="preserve">Option </w:t>
            </w:r>
            <w:r w:rsidR="009378D1" w:rsidRPr="00730694">
              <w:rPr>
                <w:sz w:val="22"/>
                <w:szCs w:val="22"/>
              </w:rPr>
              <w:t xml:space="preserve">Item </w:t>
            </w:r>
            <w:r w:rsidRPr="00730694">
              <w:rPr>
                <w:sz w:val="22"/>
                <w:szCs w:val="22"/>
              </w:rPr>
              <w:t>2</w:t>
            </w:r>
          </w:p>
        </w:tc>
        <w:tc>
          <w:tcPr>
            <w:tcW w:w="4675" w:type="dxa"/>
          </w:tcPr>
          <w:p w14:paraId="105168AE" w14:textId="18E29682" w:rsidR="00FB74C2" w:rsidRPr="00730694" w:rsidRDefault="007F089B" w:rsidP="00572598">
            <w:pPr>
              <w:autoSpaceDE w:val="0"/>
              <w:autoSpaceDN w:val="0"/>
              <w:adjustRightInd w:val="0"/>
              <w:spacing w:after="0" w:line="240" w:lineRule="auto"/>
              <w:rPr>
                <w:sz w:val="22"/>
                <w:szCs w:val="22"/>
              </w:rPr>
            </w:pPr>
            <w:r w:rsidRPr="00730694">
              <w:rPr>
                <w:sz w:val="22"/>
                <w:szCs w:val="22"/>
              </w:rPr>
              <w:t>$</w:t>
            </w:r>
            <w:r w:rsidR="00110A4A" w:rsidRPr="00730694">
              <w:rPr>
                <w:sz w:val="22"/>
                <w:szCs w:val="22"/>
              </w:rPr>
              <w:t>197,</w:t>
            </w:r>
            <w:r w:rsidR="00BB26E2" w:rsidRPr="00730694">
              <w:rPr>
                <w:sz w:val="22"/>
                <w:szCs w:val="22"/>
              </w:rPr>
              <w:t>300</w:t>
            </w:r>
            <w:r w:rsidR="00110A4A" w:rsidRPr="00730694">
              <w:rPr>
                <w:sz w:val="22"/>
                <w:szCs w:val="22"/>
              </w:rPr>
              <w:t>.0</w:t>
            </w:r>
            <w:r w:rsidR="00BB26E2" w:rsidRPr="00730694">
              <w:rPr>
                <w:sz w:val="22"/>
                <w:szCs w:val="22"/>
              </w:rPr>
              <w:t>1</w:t>
            </w:r>
            <w:r w:rsidRPr="00730694">
              <w:rPr>
                <w:sz w:val="22"/>
                <w:szCs w:val="22"/>
              </w:rPr>
              <w:t xml:space="preserve"> -</w:t>
            </w:r>
            <w:r w:rsidR="00110A4A" w:rsidRPr="00730694">
              <w:rPr>
                <w:sz w:val="22"/>
                <w:szCs w:val="22"/>
              </w:rPr>
              <w:t>-</w:t>
            </w:r>
            <w:r w:rsidRPr="00730694">
              <w:rPr>
                <w:sz w:val="22"/>
                <w:szCs w:val="22"/>
              </w:rPr>
              <w:t xml:space="preserve"> $2</w:t>
            </w:r>
            <w:r w:rsidR="00110A4A" w:rsidRPr="00730694">
              <w:rPr>
                <w:sz w:val="22"/>
                <w:szCs w:val="22"/>
              </w:rPr>
              <w:t>19,</w:t>
            </w:r>
            <w:r w:rsidR="00BB26E2" w:rsidRPr="00730694">
              <w:rPr>
                <w:sz w:val="22"/>
                <w:szCs w:val="22"/>
              </w:rPr>
              <w:t>222</w:t>
            </w:r>
            <w:r w:rsidR="00110A4A" w:rsidRPr="00730694">
              <w:rPr>
                <w:sz w:val="22"/>
                <w:szCs w:val="22"/>
              </w:rPr>
              <w:t>.</w:t>
            </w:r>
            <w:r w:rsidR="00BB26E2" w:rsidRPr="00730694">
              <w:rPr>
                <w:sz w:val="22"/>
                <w:szCs w:val="22"/>
              </w:rPr>
              <w:t>33</w:t>
            </w:r>
          </w:p>
        </w:tc>
      </w:tr>
      <w:tr w:rsidR="00925940" w:rsidRPr="00730694" w14:paraId="0D9664F5" w14:textId="77777777" w:rsidTr="00572598">
        <w:trPr>
          <w:trHeight w:val="96"/>
        </w:trPr>
        <w:tc>
          <w:tcPr>
            <w:tcW w:w="4675" w:type="dxa"/>
          </w:tcPr>
          <w:p w14:paraId="7FBD1811" w14:textId="5F6130FE" w:rsidR="00925940" w:rsidRPr="00730694" w:rsidRDefault="00925940" w:rsidP="009378D1">
            <w:pPr>
              <w:autoSpaceDE w:val="0"/>
              <w:autoSpaceDN w:val="0"/>
              <w:adjustRightInd w:val="0"/>
              <w:spacing w:after="0" w:line="240" w:lineRule="auto"/>
              <w:rPr>
                <w:sz w:val="22"/>
                <w:szCs w:val="22"/>
              </w:rPr>
            </w:pPr>
            <w:r w:rsidRPr="00730694">
              <w:rPr>
                <w:sz w:val="22"/>
                <w:szCs w:val="22"/>
              </w:rPr>
              <w:t xml:space="preserve">Option </w:t>
            </w:r>
            <w:r w:rsidR="009378D1" w:rsidRPr="00730694">
              <w:rPr>
                <w:sz w:val="22"/>
                <w:szCs w:val="22"/>
              </w:rPr>
              <w:t xml:space="preserve">Item </w:t>
            </w:r>
            <w:r w:rsidRPr="00730694">
              <w:rPr>
                <w:sz w:val="22"/>
                <w:szCs w:val="22"/>
              </w:rPr>
              <w:t>3</w:t>
            </w:r>
          </w:p>
        </w:tc>
        <w:tc>
          <w:tcPr>
            <w:tcW w:w="4675" w:type="dxa"/>
          </w:tcPr>
          <w:p w14:paraId="14514A27" w14:textId="5B27EF3C" w:rsidR="00925940" w:rsidRPr="00730694" w:rsidRDefault="00110A4A" w:rsidP="00572598">
            <w:pPr>
              <w:autoSpaceDE w:val="0"/>
              <w:autoSpaceDN w:val="0"/>
              <w:adjustRightInd w:val="0"/>
              <w:spacing w:after="0" w:line="240" w:lineRule="auto"/>
              <w:rPr>
                <w:sz w:val="22"/>
                <w:szCs w:val="22"/>
              </w:rPr>
            </w:pPr>
            <w:r w:rsidRPr="00730694">
              <w:rPr>
                <w:sz w:val="22"/>
                <w:szCs w:val="22"/>
              </w:rPr>
              <w:t>$199,676.24 -- $221,862.49</w:t>
            </w:r>
          </w:p>
        </w:tc>
      </w:tr>
      <w:tr w:rsidR="00572598" w:rsidRPr="00730694" w14:paraId="40F73028" w14:textId="1AD278BF" w:rsidTr="00572598">
        <w:tblPrEx>
          <w:tblLook w:val="0000" w:firstRow="0" w:lastRow="0" w:firstColumn="0" w:lastColumn="0" w:noHBand="0" w:noVBand="0"/>
        </w:tblPrEx>
        <w:trPr>
          <w:trHeight w:val="300"/>
        </w:trPr>
        <w:tc>
          <w:tcPr>
            <w:tcW w:w="4680" w:type="dxa"/>
            <w:tcBorders>
              <w:bottom w:val="single" w:sz="4" w:space="0" w:color="auto"/>
            </w:tcBorders>
          </w:tcPr>
          <w:p w14:paraId="68813C67" w14:textId="4080CF8C" w:rsidR="00572598" w:rsidRPr="00730694" w:rsidRDefault="00572598" w:rsidP="009378D1">
            <w:pPr>
              <w:pStyle w:val="BodyText"/>
              <w:ind w:left="0"/>
              <w:rPr>
                <w:sz w:val="22"/>
                <w:szCs w:val="22"/>
              </w:rPr>
            </w:pPr>
            <w:r w:rsidRPr="00730694">
              <w:rPr>
                <w:sz w:val="22"/>
                <w:szCs w:val="22"/>
              </w:rPr>
              <w:t xml:space="preserve">Option </w:t>
            </w:r>
            <w:r w:rsidR="009378D1" w:rsidRPr="00730694">
              <w:rPr>
                <w:sz w:val="22"/>
                <w:szCs w:val="22"/>
              </w:rPr>
              <w:t xml:space="preserve">Item </w:t>
            </w:r>
            <w:r w:rsidRPr="00730694">
              <w:rPr>
                <w:sz w:val="22"/>
                <w:szCs w:val="22"/>
              </w:rPr>
              <w:t>4</w:t>
            </w:r>
          </w:p>
        </w:tc>
        <w:tc>
          <w:tcPr>
            <w:tcW w:w="4670" w:type="dxa"/>
          </w:tcPr>
          <w:p w14:paraId="176F0876" w14:textId="302FEAE2" w:rsidR="00572598" w:rsidRPr="00730694" w:rsidRDefault="00572598" w:rsidP="00572598">
            <w:pPr>
              <w:pStyle w:val="BodyText"/>
              <w:ind w:left="0"/>
              <w:rPr>
                <w:i/>
                <w:sz w:val="22"/>
                <w:szCs w:val="22"/>
              </w:rPr>
            </w:pPr>
            <w:r w:rsidRPr="00730694">
              <w:rPr>
                <w:sz w:val="22"/>
                <w:szCs w:val="22"/>
              </w:rPr>
              <w:t>$199,676.24 -- $221,862.49</w:t>
            </w:r>
          </w:p>
        </w:tc>
      </w:tr>
    </w:tbl>
    <w:p w14:paraId="2E38944A" w14:textId="77777777" w:rsidR="00572598" w:rsidRPr="00730694" w:rsidRDefault="00572598" w:rsidP="00820561">
      <w:pPr>
        <w:pStyle w:val="BodyText"/>
        <w:ind w:left="0"/>
        <w:rPr>
          <w:i/>
          <w:sz w:val="22"/>
          <w:szCs w:val="22"/>
        </w:rPr>
      </w:pPr>
    </w:p>
    <w:p w14:paraId="47BD4C74" w14:textId="43DDC76E" w:rsidR="00820561" w:rsidRPr="00730694" w:rsidRDefault="00FB74C2" w:rsidP="00820561">
      <w:pPr>
        <w:pStyle w:val="BodyText"/>
        <w:ind w:left="0"/>
        <w:rPr>
          <w:i/>
          <w:sz w:val="22"/>
          <w:szCs w:val="22"/>
        </w:rPr>
      </w:pPr>
      <w:r w:rsidRPr="00730694">
        <w:rPr>
          <w:i/>
          <w:sz w:val="22"/>
          <w:szCs w:val="22"/>
        </w:rPr>
        <w:t>**</w:t>
      </w:r>
      <w:r w:rsidR="00820561" w:rsidRPr="00730694">
        <w:rPr>
          <w:i/>
          <w:sz w:val="22"/>
          <w:szCs w:val="22"/>
        </w:rPr>
        <w:t xml:space="preserve">Subject to the </w:t>
      </w:r>
      <w:r w:rsidR="00820561" w:rsidRPr="00730694">
        <w:rPr>
          <w:rStyle w:val="apple-style-span"/>
          <w:bCs/>
          <w:i/>
          <w:color w:val="000000"/>
          <w:sz w:val="22"/>
          <w:szCs w:val="22"/>
        </w:rPr>
        <w:t>Anti-Deficiency Act</w:t>
      </w:r>
      <w:r w:rsidR="00820561" w:rsidRPr="00730694">
        <w:rPr>
          <w:rStyle w:val="apple-converted-space"/>
          <w:i/>
          <w:color w:val="000000"/>
          <w:sz w:val="22"/>
          <w:szCs w:val="22"/>
        </w:rPr>
        <w:t> </w:t>
      </w:r>
      <w:r w:rsidR="00820561" w:rsidRPr="00730694">
        <w:rPr>
          <w:rStyle w:val="apple-style-span"/>
          <w:i/>
          <w:color w:val="000000"/>
          <w:sz w:val="22"/>
          <w:szCs w:val="22"/>
        </w:rPr>
        <w:t>(</w:t>
      </w:r>
      <w:r w:rsidR="00820561" w:rsidRPr="00730694">
        <w:rPr>
          <w:rStyle w:val="apple-style-span"/>
          <w:bCs/>
          <w:i/>
          <w:color w:val="000000"/>
          <w:sz w:val="22"/>
          <w:szCs w:val="22"/>
        </w:rPr>
        <w:t>31 U.S.C. § 1341),</w:t>
      </w:r>
      <w:r w:rsidR="00820561" w:rsidRPr="00730694">
        <w:rPr>
          <w:rStyle w:val="apple-style-span"/>
          <w:i/>
          <w:color w:val="000000"/>
          <w:sz w:val="22"/>
          <w:szCs w:val="22"/>
          <w:vertAlign w:val="superscript"/>
        </w:rPr>
        <w:t xml:space="preserve"> </w:t>
      </w:r>
      <w:r w:rsidR="00820561" w:rsidRPr="00730694">
        <w:rPr>
          <w:i/>
          <w:sz w:val="22"/>
          <w:szCs w:val="22"/>
        </w:rPr>
        <w:t xml:space="preserve">additional funding may be available for follow on work in subsequent fiscal years to the successful Recipient. </w:t>
      </w:r>
    </w:p>
    <w:p w14:paraId="71281FE7" w14:textId="77777777" w:rsidR="00820561" w:rsidRPr="00730694" w:rsidRDefault="00820561" w:rsidP="00820561">
      <w:pPr>
        <w:pStyle w:val="BodyText"/>
        <w:ind w:left="0"/>
        <w:rPr>
          <w:sz w:val="22"/>
          <w:szCs w:val="22"/>
        </w:rPr>
      </w:pPr>
    </w:p>
    <w:p w14:paraId="5C0BBD74" w14:textId="51ACE709" w:rsidR="002B4D11" w:rsidRPr="00730694" w:rsidRDefault="002B4D11" w:rsidP="00820561">
      <w:pPr>
        <w:pStyle w:val="BodyText"/>
        <w:ind w:left="0"/>
        <w:rPr>
          <w:sz w:val="22"/>
          <w:szCs w:val="22"/>
        </w:rPr>
      </w:pPr>
      <w:r w:rsidRPr="00730694">
        <w:rPr>
          <w:spacing w:val="-1"/>
          <w:sz w:val="22"/>
          <w:szCs w:val="22"/>
          <w:u w:val="single" w:color="000000"/>
        </w:rPr>
        <w:t>Type</w:t>
      </w:r>
      <w:r w:rsidRPr="00730694">
        <w:rPr>
          <w:sz w:val="22"/>
          <w:szCs w:val="22"/>
          <w:u w:val="single" w:color="000000"/>
        </w:rPr>
        <w:t xml:space="preserve"> </w:t>
      </w:r>
      <w:r w:rsidRPr="00730694">
        <w:rPr>
          <w:spacing w:val="-1"/>
          <w:sz w:val="22"/>
          <w:szCs w:val="22"/>
          <w:u w:val="single" w:color="000000"/>
        </w:rPr>
        <w:t>of</w:t>
      </w:r>
      <w:r w:rsidRPr="00730694">
        <w:rPr>
          <w:sz w:val="22"/>
          <w:szCs w:val="22"/>
          <w:u w:val="single" w:color="000000"/>
        </w:rPr>
        <w:t xml:space="preserve"> </w:t>
      </w:r>
      <w:r w:rsidRPr="00730694">
        <w:rPr>
          <w:spacing w:val="-1"/>
          <w:sz w:val="22"/>
          <w:szCs w:val="22"/>
          <w:u w:val="single" w:color="000000"/>
        </w:rPr>
        <w:t>Assistance</w:t>
      </w:r>
      <w:r w:rsidRPr="00730694">
        <w:rPr>
          <w:sz w:val="22"/>
          <w:szCs w:val="22"/>
          <w:u w:val="single" w:color="000000"/>
        </w:rPr>
        <w:t xml:space="preserve"> </w:t>
      </w:r>
      <w:r w:rsidRPr="00730694">
        <w:rPr>
          <w:spacing w:val="-1"/>
          <w:sz w:val="22"/>
          <w:szCs w:val="22"/>
          <w:u w:val="single" w:color="000000"/>
        </w:rPr>
        <w:t>Instrument</w:t>
      </w:r>
      <w:r w:rsidRPr="00730694">
        <w:rPr>
          <w:sz w:val="22"/>
          <w:szCs w:val="22"/>
          <w:u w:val="single" w:color="000000"/>
        </w:rPr>
        <w:t xml:space="preserve"> </w:t>
      </w:r>
      <w:r w:rsidRPr="00730694">
        <w:rPr>
          <w:spacing w:val="-1"/>
          <w:sz w:val="22"/>
          <w:szCs w:val="22"/>
          <w:u w:val="single" w:color="000000"/>
        </w:rPr>
        <w:t>Anticipated:</w:t>
      </w:r>
      <w:r w:rsidRPr="00730694">
        <w:rPr>
          <w:sz w:val="22"/>
          <w:szCs w:val="22"/>
          <w:u w:val="single" w:color="000000"/>
        </w:rPr>
        <w:t xml:space="preserve"> </w:t>
      </w:r>
      <w:r w:rsidRPr="00730694">
        <w:rPr>
          <w:sz w:val="22"/>
          <w:szCs w:val="22"/>
        </w:rPr>
        <w:t xml:space="preserve">Cooperative </w:t>
      </w:r>
      <w:r w:rsidRPr="00730694">
        <w:rPr>
          <w:spacing w:val="-1"/>
          <w:sz w:val="22"/>
          <w:szCs w:val="22"/>
        </w:rPr>
        <w:t>Agreement</w:t>
      </w:r>
      <w:r w:rsidRPr="00730694">
        <w:rPr>
          <w:spacing w:val="-1"/>
          <w:sz w:val="22"/>
          <w:szCs w:val="22"/>
        </w:rPr>
        <w:br/>
      </w:r>
    </w:p>
    <w:p w14:paraId="64C741D2" w14:textId="62C656F5" w:rsidR="002B4D11" w:rsidRPr="00730694" w:rsidRDefault="002B4D11" w:rsidP="00820561">
      <w:pPr>
        <w:pStyle w:val="BodyText"/>
        <w:ind w:left="0"/>
        <w:rPr>
          <w:sz w:val="22"/>
          <w:szCs w:val="22"/>
        </w:rPr>
      </w:pPr>
      <w:r w:rsidRPr="00730694">
        <w:rPr>
          <w:sz w:val="22"/>
          <w:szCs w:val="22"/>
          <w:u w:val="single"/>
        </w:rPr>
        <w:t>Authority</w:t>
      </w:r>
      <w:r w:rsidRPr="00730694">
        <w:rPr>
          <w:sz w:val="22"/>
          <w:szCs w:val="22"/>
        </w:rPr>
        <w:t>:</w:t>
      </w:r>
      <w:r w:rsidRPr="00730694">
        <w:rPr>
          <w:spacing w:val="-1"/>
          <w:sz w:val="22"/>
          <w:szCs w:val="22"/>
        </w:rPr>
        <w:t xml:space="preserve"> </w:t>
      </w:r>
      <w:r w:rsidRPr="00730694">
        <w:rPr>
          <w:sz w:val="22"/>
          <w:szCs w:val="22"/>
        </w:rPr>
        <w:t>Cooperative</w:t>
      </w:r>
      <w:r w:rsidRPr="00730694">
        <w:rPr>
          <w:spacing w:val="-1"/>
          <w:sz w:val="22"/>
          <w:szCs w:val="22"/>
        </w:rPr>
        <w:t xml:space="preserve"> Agreement </w:t>
      </w:r>
      <w:r w:rsidRPr="00730694">
        <w:rPr>
          <w:sz w:val="22"/>
          <w:szCs w:val="22"/>
        </w:rPr>
        <w:t>under</w:t>
      </w:r>
      <w:r w:rsidRPr="00730694">
        <w:rPr>
          <w:spacing w:val="-1"/>
          <w:sz w:val="22"/>
          <w:szCs w:val="22"/>
        </w:rPr>
        <w:t xml:space="preserve"> </w:t>
      </w:r>
      <w:r w:rsidRPr="00730694">
        <w:rPr>
          <w:sz w:val="22"/>
          <w:szCs w:val="22"/>
        </w:rPr>
        <w:t>16 USC §670c-1</w:t>
      </w:r>
      <w:r w:rsidRPr="00730694">
        <w:rPr>
          <w:sz w:val="22"/>
          <w:szCs w:val="22"/>
        </w:rPr>
        <w:br/>
      </w:r>
    </w:p>
    <w:p w14:paraId="49844E20" w14:textId="70B37F24" w:rsidR="002B4D11" w:rsidRPr="00730694" w:rsidRDefault="002B4D11" w:rsidP="00820561">
      <w:pPr>
        <w:pStyle w:val="BodyText"/>
        <w:ind w:left="0" w:right="218"/>
        <w:rPr>
          <w:sz w:val="22"/>
          <w:szCs w:val="22"/>
        </w:rPr>
      </w:pPr>
      <w:r w:rsidRPr="00730694">
        <w:rPr>
          <w:sz w:val="22"/>
          <w:szCs w:val="22"/>
          <w:u w:val="single" w:color="000000"/>
        </w:rPr>
        <w:t xml:space="preserve">Eligible Applicants: </w:t>
      </w:r>
      <w:r w:rsidRPr="00730694">
        <w:rPr>
          <w:sz w:val="22"/>
          <w:szCs w:val="22"/>
        </w:rPr>
        <w:t xml:space="preserve">Any </w:t>
      </w:r>
      <w:r w:rsidR="0054512D" w:rsidRPr="00730694">
        <w:rPr>
          <w:sz w:val="22"/>
          <w:szCs w:val="22"/>
        </w:rPr>
        <w:t xml:space="preserve">Alaska </w:t>
      </w:r>
      <w:r w:rsidRPr="00730694">
        <w:rPr>
          <w:sz w:val="22"/>
          <w:szCs w:val="22"/>
        </w:rPr>
        <w:t xml:space="preserve">Cooperative Ecosystem Studies Unit </w:t>
      </w:r>
      <w:r w:rsidR="007F089B" w:rsidRPr="00730694">
        <w:rPr>
          <w:sz w:val="22"/>
          <w:szCs w:val="22"/>
        </w:rPr>
        <w:t xml:space="preserve">(CESU) </w:t>
      </w:r>
      <w:r w:rsidRPr="00730694">
        <w:rPr>
          <w:sz w:val="22"/>
          <w:szCs w:val="22"/>
        </w:rPr>
        <w:t>cooperative partner who qualifies under the DoDGARS Part 34 or 2 Code of Federal Regulations 200 is eligible to apply.</w:t>
      </w:r>
      <w:r w:rsidRPr="00730694">
        <w:rPr>
          <w:sz w:val="22"/>
          <w:szCs w:val="22"/>
        </w:rPr>
        <w:br/>
      </w:r>
    </w:p>
    <w:p w14:paraId="73B5F791" w14:textId="77777777" w:rsidR="002B4D11" w:rsidRPr="00730694" w:rsidRDefault="002B4D11" w:rsidP="00820561">
      <w:pPr>
        <w:pStyle w:val="BodyText"/>
        <w:ind w:left="0"/>
        <w:rPr>
          <w:sz w:val="22"/>
          <w:szCs w:val="22"/>
        </w:rPr>
      </w:pPr>
      <w:r w:rsidRPr="00730694">
        <w:rPr>
          <w:spacing w:val="-1"/>
          <w:sz w:val="22"/>
          <w:szCs w:val="22"/>
          <w:u w:val="single"/>
        </w:rPr>
        <w:t>Cost</w:t>
      </w:r>
      <w:r w:rsidRPr="00730694">
        <w:rPr>
          <w:sz w:val="22"/>
          <w:szCs w:val="22"/>
          <w:u w:val="single"/>
        </w:rPr>
        <w:t xml:space="preserve"> </w:t>
      </w:r>
      <w:r w:rsidRPr="00730694">
        <w:rPr>
          <w:spacing w:val="-1"/>
          <w:sz w:val="22"/>
          <w:szCs w:val="22"/>
          <w:u w:val="single"/>
        </w:rPr>
        <w:t>Sharing</w:t>
      </w:r>
      <w:r w:rsidRPr="00730694">
        <w:rPr>
          <w:spacing w:val="-1"/>
          <w:sz w:val="22"/>
          <w:szCs w:val="22"/>
        </w:rPr>
        <w:t>: Not required</w:t>
      </w:r>
    </w:p>
    <w:p w14:paraId="48E0A1EB" w14:textId="77777777" w:rsidR="002B4D11" w:rsidRPr="00730694" w:rsidRDefault="002B4D11" w:rsidP="00820561">
      <w:pPr>
        <w:autoSpaceDE w:val="0"/>
        <w:autoSpaceDN w:val="0"/>
        <w:adjustRightInd w:val="0"/>
        <w:spacing w:after="0" w:line="240" w:lineRule="auto"/>
        <w:rPr>
          <w:sz w:val="22"/>
          <w:szCs w:val="22"/>
        </w:rPr>
      </w:pPr>
    </w:p>
    <w:p w14:paraId="45ED28F8" w14:textId="75480BA8" w:rsidR="00845B42" w:rsidRPr="00730694" w:rsidRDefault="00657B78" w:rsidP="00820561">
      <w:pPr>
        <w:autoSpaceDE w:val="0"/>
        <w:autoSpaceDN w:val="0"/>
        <w:adjustRightInd w:val="0"/>
        <w:spacing w:after="0" w:line="240" w:lineRule="auto"/>
        <w:outlineLvl w:val="0"/>
        <w:rPr>
          <w:b/>
          <w:bCs/>
          <w:sz w:val="22"/>
          <w:szCs w:val="22"/>
        </w:rPr>
      </w:pPr>
      <w:r w:rsidRPr="00730694">
        <w:rPr>
          <w:b/>
          <w:bCs/>
          <w:sz w:val="22"/>
          <w:szCs w:val="22"/>
        </w:rPr>
        <w:t>Background:</w:t>
      </w:r>
    </w:p>
    <w:p w14:paraId="6641DBF9" w14:textId="0121C385" w:rsidR="0054512D" w:rsidRPr="00730694" w:rsidRDefault="0054512D" w:rsidP="00496045">
      <w:pPr>
        <w:rPr>
          <w:sz w:val="22"/>
          <w:szCs w:val="22"/>
        </w:rPr>
      </w:pPr>
      <w:r w:rsidRPr="00730694">
        <w:rPr>
          <w:sz w:val="22"/>
          <w:szCs w:val="22"/>
        </w:rPr>
        <w:t xml:space="preserve">The primary mission of the United States (U.S.) Navy is to maintain, and equip combat-ready naval forces capable of winning wars, deterring aggression, and maintaining freedom of the seas. While fulfilling its primary mission, the Navy maintains a deep commitment to environmental compliance and stewardship. United States </w:t>
      </w:r>
      <w:r w:rsidR="00073672" w:rsidRPr="00730694">
        <w:rPr>
          <w:sz w:val="22"/>
          <w:szCs w:val="22"/>
        </w:rPr>
        <w:t xml:space="preserve">Pacific </w:t>
      </w:r>
      <w:r w:rsidRPr="00730694">
        <w:rPr>
          <w:sz w:val="22"/>
          <w:szCs w:val="22"/>
        </w:rPr>
        <w:t>Fleet (</w:t>
      </w:r>
      <w:r w:rsidR="00073672" w:rsidRPr="00730694">
        <w:rPr>
          <w:sz w:val="22"/>
          <w:szCs w:val="22"/>
        </w:rPr>
        <w:t>CPF</w:t>
      </w:r>
      <w:r w:rsidRPr="00730694">
        <w:rPr>
          <w:sz w:val="22"/>
          <w:szCs w:val="22"/>
        </w:rPr>
        <w:t xml:space="preserve">) invests a significant amount of funding and support to maintain environmental compliance. </w:t>
      </w:r>
    </w:p>
    <w:p w14:paraId="0C52A6A8" w14:textId="7F603110" w:rsidR="00A15D7B" w:rsidRPr="00730694" w:rsidRDefault="00A15D7B" w:rsidP="00A15D7B">
      <w:pPr>
        <w:spacing w:before="120" w:after="120"/>
        <w:rPr>
          <w:sz w:val="22"/>
          <w:szCs w:val="22"/>
        </w:rPr>
      </w:pPr>
      <w:bookmarkStart w:id="0" w:name="_Toc20928871"/>
      <w:bookmarkStart w:id="1" w:name="_Toc20927724"/>
      <w:bookmarkStart w:id="2" w:name="_Toc20924400"/>
      <w:bookmarkStart w:id="3" w:name="_Toc20921839"/>
      <w:bookmarkStart w:id="4" w:name="_Toc20921669"/>
      <w:r w:rsidRPr="00730694">
        <w:rPr>
          <w:sz w:val="22"/>
          <w:szCs w:val="22"/>
        </w:rPr>
        <w:t xml:space="preserve">The U.S. Navy conducts military training and testing in the Pacific Northwest, as well as military training within the Gulf of Alaska (GoA) to prepare combat-ready military forces. A description of these activities can be found in the 2016 GoA Temporary Maritime Activities Study Area (TMAA) Supplementary Environmental Impact Statement (EIS) (DoN 2016) and the Northwest Training and Testing (NWTT) Final EIS (DoN 2015).  </w:t>
      </w:r>
    </w:p>
    <w:p w14:paraId="22E75AA6" w14:textId="76663C1A" w:rsidR="00B172E3" w:rsidRPr="00730694" w:rsidRDefault="00A15D7B" w:rsidP="00B172E3">
      <w:pPr>
        <w:spacing w:before="120" w:after="120"/>
        <w:rPr>
          <w:sz w:val="22"/>
          <w:szCs w:val="22"/>
        </w:rPr>
      </w:pPr>
      <w:r w:rsidRPr="00730694">
        <w:rPr>
          <w:sz w:val="22"/>
          <w:szCs w:val="22"/>
        </w:rPr>
        <w:t>Waters in the vicinity of the NWTT and GoA study areas are known to be habitat for various populations of Chinook salmon, of which some</w:t>
      </w:r>
      <w:r w:rsidR="00B172E3" w:rsidRPr="00730694">
        <w:rPr>
          <w:sz w:val="22"/>
          <w:szCs w:val="22"/>
        </w:rPr>
        <w:t xml:space="preserve"> Chinook salmon</w:t>
      </w:r>
      <w:r w:rsidRPr="00730694">
        <w:rPr>
          <w:sz w:val="22"/>
          <w:szCs w:val="22"/>
        </w:rPr>
        <w:t xml:space="preserve"> Evolutionarily Significant Units (ESUs) are </w:t>
      </w:r>
      <w:r w:rsidRPr="00730694">
        <w:rPr>
          <w:sz w:val="22"/>
          <w:szCs w:val="22"/>
        </w:rPr>
        <w:lastRenderedPageBreak/>
        <w:t xml:space="preserve">protected under the U.S. Endangered Species Act (ESA). Several </w:t>
      </w:r>
      <w:r w:rsidR="00B172E3" w:rsidRPr="00730694">
        <w:rPr>
          <w:sz w:val="22"/>
          <w:szCs w:val="22"/>
        </w:rPr>
        <w:t xml:space="preserve">Chinook salmon </w:t>
      </w:r>
      <w:r w:rsidRPr="00730694">
        <w:rPr>
          <w:sz w:val="22"/>
          <w:szCs w:val="22"/>
        </w:rPr>
        <w:t xml:space="preserve">ESU’s from the NWTT study area are known to migrate northward to the GoA as juveniles and then return to the NWTT study area as adults; however, these migratory paths are not fully understood.  Additionally, the Southern Resident Killer Whale, an endangered marine mammal in the Pacific Northwest, preys primarily upon Chinook salmon and may be targeting specific ESUs.  </w:t>
      </w:r>
      <w:r w:rsidR="00B172E3" w:rsidRPr="00730694">
        <w:rPr>
          <w:sz w:val="22"/>
          <w:szCs w:val="22"/>
        </w:rPr>
        <w:t>In order to assist in planning for military training, both the National Marine Fisheries Service (NMFS) and the</w:t>
      </w:r>
      <w:r w:rsidR="00B6373A" w:rsidRPr="00730694">
        <w:rPr>
          <w:sz w:val="22"/>
          <w:szCs w:val="22"/>
        </w:rPr>
        <w:t xml:space="preserve"> U.S.</w:t>
      </w:r>
      <w:r w:rsidR="00B172E3" w:rsidRPr="00730694">
        <w:rPr>
          <w:sz w:val="22"/>
          <w:szCs w:val="22"/>
        </w:rPr>
        <w:t xml:space="preserve"> Navy are seeking information to help understand impacts in Alaska (i.e. fishing harvest) to those specific ESUs.</w:t>
      </w:r>
      <w:r w:rsidR="00B172E3" w:rsidRPr="00730694" w:rsidDel="00C847A1">
        <w:rPr>
          <w:sz w:val="22"/>
          <w:szCs w:val="22"/>
        </w:rPr>
        <w:t xml:space="preserve"> </w:t>
      </w:r>
    </w:p>
    <w:bookmarkEnd w:id="0"/>
    <w:bookmarkEnd w:id="1"/>
    <w:bookmarkEnd w:id="2"/>
    <w:bookmarkEnd w:id="3"/>
    <w:bookmarkEnd w:id="4"/>
    <w:p w14:paraId="6B742CDF" w14:textId="0F8D47A1" w:rsidR="00A15D7B" w:rsidRPr="00730694" w:rsidRDefault="00616A08" w:rsidP="000D5868">
      <w:pPr>
        <w:rPr>
          <w:sz w:val="22"/>
          <w:szCs w:val="22"/>
        </w:rPr>
      </w:pPr>
      <w:r w:rsidRPr="00730694">
        <w:rPr>
          <w:iCs/>
          <w:sz w:val="22"/>
          <w:szCs w:val="22"/>
        </w:rPr>
        <w:t>This project is part of a legal requirement of permits granted to the Navy by the regulatory agency (NMFS) for at-sea readiness training. If this project is not awarded, CPF would be out of compliance with the monitoring requirements of this permit. This could significantly increase the risk of timeline and financial costs incurred for achieving the Record of Decision to renew these permits, and result in potentially delaying mission goals of operational readiness.</w:t>
      </w:r>
      <w:r w:rsidRPr="00730694">
        <w:rPr>
          <w:sz w:val="22"/>
          <w:szCs w:val="22"/>
        </w:rPr>
        <w:t xml:space="preserve"> </w:t>
      </w:r>
      <w:r w:rsidR="00A15D7B" w:rsidRPr="00730694">
        <w:rPr>
          <w:sz w:val="22"/>
          <w:szCs w:val="22"/>
        </w:rPr>
        <w:t xml:space="preserve">More knowledge of the population identity and structure, habitat use, migration routes, </w:t>
      </w:r>
      <w:r w:rsidR="00480279" w:rsidRPr="00730694">
        <w:rPr>
          <w:sz w:val="22"/>
          <w:szCs w:val="22"/>
        </w:rPr>
        <w:t xml:space="preserve">exposure to fishing pressure/seasons </w:t>
      </w:r>
      <w:r w:rsidR="00A15D7B" w:rsidRPr="00730694">
        <w:rPr>
          <w:sz w:val="22"/>
          <w:szCs w:val="22"/>
        </w:rPr>
        <w:t>and predation in the waters of the GoA will provide additional information on the overlap of occurrence between these Chinook salmon ESUs and Navy training activities. Therefore, this project will utilize pop-up satellite archival tags (PSATs) to provide critical information on spatial and temporal distribution of salmonids and utilize genetic analysis techniques to identify ESUs to inform salmon management and potentially killer whale management.</w:t>
      </w:r>
    </w:p>
    <w:p w14:paraId="62355010" w14:textId="343A881B" w:rsidR="00905B38" w:rsidRPr="00730694" w:rsidRDefault="00B83F61" w:rsidP="00820561">
      <w:pPr>
        <w:autoSpaceDE w:val="0"/>
        <w:autoSpaceDN w:val="0"/>
        <w:adjustRightInd w:val="0"/>
        <w:spacing w:after="0" w:line="240" w:lineRule="auto"/>
        <w:outlineLvl w:val="0"/>
        <w:rPr>
          <w:b/>
          <w:sz w:val="22"/>
          <w:szCs w:val="22"/>
        </w:rPr>
      </w:pPr>
      <w:r w:rsidRPr="00730694">
        <w:rPr>
          <w:b/>
          <w:sz w:val="22"/>
          <w:szCs w:val="22"/>
        </w:rPr>
        <w:t>Brief Description of Anticipated Work:</w:t>
      </w:r>
    </w:p>
    <w:p w14:paraId="18BF8B61" w14:textId="0D062EF1" w:rsidR="000B1032" w:rsidRPr="00730694" w:rsidRDefault="00B83F61" w:rsidP="00C03594">
      <w:pPr>
        <w:autoSpaceDE w:val="0"/>
        <w:autoSpaceDN w:val="0"/>
        <w:adjustRightInd w:val="0"/>
        <w:spacing w:after="0" w:line="240" w:lineRule="auto"/>
        <w:outlineLvl w:val="0"/>
        <w:rPr>
          <w:sz w:val="22"/>
          <w:szCs w:val="22"/>
        </w:rPr>
      </w:pPr>
      <w:r w:rsidRPr="00730694">
        <w:rPr>
          <w:sz w:val="22"/>
          <w:szCs w:val="22"/>
        </w:rPr>
        <w:t xml:space="preserve">Proposals should describe projects that provide deliverables with results </w:t>
      </w:r>
      <w:r w:rsidR="0054512D" w:rsidRPr="00730694">
        <w:rPr>
          <w:sz w:val="22"/>
          <w:szCs w:val="22"/>
        </w:rPr>
        <w:t>regarding</w:t>
      </w:r>
      <w:r w:rsidRPr="00730694">
        <w:rPr>
          <w:sz w:val="22"/>
          <w:szCs w:val="22"/>
        </w:rPr>
        <w:t xml:space="preserve"> the population identity, habitat use, migration, and predation of </w:t>
      </w:r>
      <w:r w:rsidR="00394FDE" w:rsidRPr="00730694">
        <w:rPr>
          <w:sz w:val="22"/>
          <w:szCs w:val="22"/>
        </w:rPr>
        <w:t xml:space="preserve">immature </w:t>
      </w:r>
      <w:r w:rsidRPr="00730694">
        <w:rPr>
          <w:sz w:val="22"/>
          <w:szCs w:val="22"/>
        </w:rPr>
        <w:t>Chinook salmon populations f</w:t>
      </w:r>
      <w:r w:rsidR="00394FDE" w:rsidRPr="00730694">
        <w:rPr>
          <w:sz w:val="22"/>
          <w:szCs w:val="22"/>
        </w:rPr>
        <w:t xml:space="preserve">ound </w:t>
      </w:r>
      <w:r w:rsidR="0054512D" w:rsidRPr="00730694">
        <w:rPr>
          <w:sz w:val="22"/>
          <w:szCs w:val="22"/>
        </w:rPr>
        <w:t xml:space="preserve">within the </w:t>
      </w:r>
      <w:r w:rsidR="00054F8B" w:rsidRPr="00730694">
        <w:rPr>
          <w:sz w:val="22"/>
          <w:szCs w:val="22"/>
        </w:rPr>
        <w:t>GoA</w:t>
      </w:r>
      <w:r w:rsidRPr="00730694">
        <w:rPr>
          <w:sz w:val="22"/>
          <w:szCs w:val="22"/>
        </w:rPr>
        <w:t xml:space="preserve">. These projects shall include </w:t>
      </w:r>
      <w:r w:rsidR="006F1C90" w:rsidRPr="00730694">
        <w:rPr>
          <w:sz w:val="22"/>
          <w:szCs w:val="22"/>
        </w:rPr>
        <w:t xml:space="preserve">the </w:t>
      </w:r>
      <w:r w:rsidRPr="00730694">
        <w:rPr>
          <w:sz w:val="22"/>
          <w:szCs w:val="22"/>
        </w:rPr>
        <w:t xml:space="preserve">capture of Chinook salmon in the </w:t>
      </w:r>
      <w:r w:rsidR="00054F8B" w:rsidRPr="00730694">
        <w:rPr>
          <w:sz w:val="22"/>
          <w:szCs w:val="22"/>
        </w:rPr>
        <w:t>GoA</w:t>
      </w:r>
      <w:r w:rsidRPr="00730694">
        <w:rPr>
          <w:sz w:val="22"/>
          <w:szCs w:val="22"/>
        </w:rPr>
        <w:t xml:space="preserve"> for the purpose of </w:t>
      </w:r>
      <w:r w:rsidR="00343C21" w:rsidRPr="00730694">
        <w:rPr>
          <w:sz w:val="22"/>
          <w:szCs w:val="22"/>
        </w:rPr>
        <w:t xml:space="preserve">re-release after </w:t>
      </w:r>
      <w:r w:rsidR="00F65932" w:rsidRPr="00730694">
        <w:rPr>
          <w:sz w:val="22"/>
          <w:szCs w:val="22"/>
        </w:rPr>
        <w:t>attaching</w:t>
      </w:r>
      <w:r w:rsidR="0054512D" w:rsidRPr="00730694">
        <w:rPr>
          <w:sz w:val="22"/>
          <w:szCs w:val="22"/>
        </w:rPr>
        <w:t xml:space="preserve"> external</w:t>
      </w:r>
      <w:r w:rsidR="00054F8B" w:rsidRPr="00730694">
        <w:rPr>
          <w:sz w:val="22"/>
          <w:szCs w:val="22"/>
        </w:rPr>
        <w:t xml:space="preserve"> PSATs</w:t>
      </w:r>
      <w:r w:rsidR="0054512D" w:rsidRPr="00730694">
        <w:rPr>
          <w:sz w:val="22"/>
          <w:szCs w:val="22"/>
        </w:rPr>
        <w:t>, as well as the collection of tissue samples for genetic analysis</w:t>
      </w:r>
      <w:r w:rsidR="00411E02" w:rsidRPr="00730694">
        <w:rPr>
          <w:sz w:val="22"/>
          <w:szCs w:val="22"/>
        </w:rPr>
        <w:t>.</w:t>
      </w:r>
      <w:r w:rsidR="00343C21" w:rsidRPr="00730694">
        <w:rPr>
          <w:sz w:val="22"/>
          <w:szCs w:val="22"/>
        </w:rPr>
        <w:t xml:space="preserve">  </w:t>
      </w:r>
      <w:r w:rsidR="00C03594" w:rsidRPr="00730694">
        <w:rPr>
          <w:sz w:val="22"/>
          <w:szCs w:val="22"/>
        </w:rPr>
        <w:t>The satellite tags</w:t>
      </w:r>
      <w:r w:rsidR="003267DF" w:rsidRPr="00730694">
        <w:rPr>
          <w:sz w:val="22"/>
          <w:szCs w:val="22"/>
        </w:rPr>
        <w:t xml:space="preserve"> and their programming</w:t>
      </w:r>
      <w:r w:rsidR="00C03594" w:rsidRPr="00730694">
        <w:rPr>
          <w:sz w:val="22"/>
          <w:szCs w:val="22"/>
        </w:rPr>
        <w:t xml:space="preserve"> should be appropriate for the study questions and subject species, and it is preferred that it also </w:t>
      </w:r>
      <w:r w:rsidR="0000359F" w:rsidRPr="00730694">
        <w:rPr>
          <w:sz w:val="22"/>
          <w:szCs w:val="22"/>
        </w:rPr>
        <w:t xml:space="preserve">will </w:t>
      </w:r>
      <w:r w:rsidR="00C03594" w:rsidRPr="00730694">
        <w:rPr>
          <w:sz w:val="22"/>
          <w:szCs w:val="22"/>
        </w:rPr>
        <w:t>record relevant environmental data streams such as dept</w:t>
      </w:r>
      <w:r w:rsidR="0054512D" w:rsidRPr="00730694">
        <w:rPr>
          <w:sz w:val="22"/>
          <w:szCs w:val="22"/>
        </w:rPr>
        <w:t>h,</w:t>
      </w:r>
      <w:r w:rsidR="00C03594" w:rsidRPr="00730694">
        <w:rPr>
          <w:sz w:val="22"/>
          <w:szCs w:val="22"/>
        </w:rPr>
        <w:t xml:space="preserve"> temperature</w:t>
      </w:r>
      <w:r w:rsidR="0054512D" w:rsidRPr="00730694">
        <w:rPr>
          <w:sz w:val="22"/>
          <w:szCs w:val="22"/>
        </w:rPr>
        <w:t>, and ambient light for geolocation.</w:t>
      </w:r>
    </w:p>
    <w:p w14:paraId="22F29713" w14:textId="77777777" w:rsidR="00C03594" w:rsidRPr="00730694" w:rsidRDefault="00C03594" w:rsidP="00C03594">
      <w:pPr>
        <w:autoSpaceDE w:val="0"/>
        <w:autoSpaceDN w:val="0"/>
        <w:adjustRightInd w:val="0"/>
        <w:spacing w:after="0" w:line="240" w:lineRule="auto"/>
        <w:outlineLvl w:val="0"/>
        <w:rPr>
          <w:sz w:val="22"/>
          <w:szCs w:val="22"/>
        </w:rPr>
      </w:pPr>
    </w:p>
    <w:p w14:paraId="7BA2E246" w14:textId="4280784C" w:rsidR="00B83F61" w:rsidRPr="00730694" w:rsidRDefault="00394FDE" w:rsidP="00820561">
      <w:pPr>
        <w:autoSpaceDE w:val="0"/>
        <w:autoSpaceDN w:val="0"/>
        <w:adjustRightInd w:val="0"/>
        <w:spacing w:after="0" w:line="240" w:lineRule="auto"/>
        <w:outlineLvl w:val="0"/>
        <w:rPr>
          <w:sz w:val="22"/>
          <w:szCs w:val="22"/>
        </w:rPr>
      </w:pPr>
      <w:r w:rsidRPr="00730694">
        <w:rPr>
          <w:sz w:val="22"/>
          <w:szCs w:val="22"/>
        </w:rPr>
        <w:t xml:space="preserve">Analysis of </w:t>
      </w:r>
      <w:r w:rsidR="0000359F" w:rsidRPr="00730694">
        <w:rPr>
          <w:sz w:val="22"/>
          <w:szCs w:val="22"/>
        </w:rPr>
        <w:t>t</w:t>
      </w:r>
      <w:r w:rsidRPr="00730694">
        <w:rPr>
          <w:sz w:val="22"/>
          <w:szCs w:val="22"/>
        </w:rPr>
        <w:t xml:space="preserve">ag data shall utilize appropriate filtering and modeling to result in the extent of the telemetry track, as well as the record of temperature and depth.  Analysis shall also include correlations and summaries of the fishes’ telemetry </w:t>
      </w:r>
      <w:r w:rsidR="0000359F" w:rsidRPr="00730694">
        <w:rPr>
          <w:sz w:val="22"/>
          <w:szCs w:val="22"/>
        </w:rPr>
        <w:t xml:space="preserve">in relation to </w:t>
      </w:r>
      <w:r w:rsidRPr="00730694">
        <w:rPr>
          <w:sz w:val="22"/>
          <w:szCs w:val="22"/>
        </w:rPr>
        <w:t>environmental data such as diel and lunar cycles, as well as bathymetric variables.  The habitat use and migratory patterns of the fish shall be analyzed, for example using a kernel density estimate, or Brownian bridge movement model.</w:t>
      </w:r>
      <w:r w:rsidR="003267DF" w:rsidRPr="00730694">
        <w:rPr>
          <w:sz w:val="22"/>
          <w:szCs w:val="22"/>
        </w:rPr>
        <w:t xml:space="preserve">  Indications of mortality shall also be analyzed and categorized, for example various modes of fisheries interactions (bycatch) or predation.</w:t>
      </w:r>
    </w:p>
    <w:p w14:paraId="490A385D" w14:textId="77777777" w:rsidR="00A15D7B" w:rsidRPr="00730694" w:rsidRDefault="00A15D7B" w:rsidP="00687B7D">
      <w:pPr>
        <w:autoSpaceDE w:val="0"/>
        <w:autoSpaceDN w:val="0"/>
        <w:adjustRightInd w:val="0"/>
        <w:spacing w:after="0" w:line="240" w:lineRule="auto"/>
        <w:outlineLvl w:val="0"/>
        <w:rPr>
          <w:sz w:val="22"/>
          <w:szCs w:val="22"/>
        </w:rPr>
      </w:pPr>
    </w:p>
    <w:p w14:paraId="101C2331" w14:textId="7ECAE6EE" w:rsidR="00687B7D" w:rsidRPr="00730694" w:rsidRDefault="00687B7D" w:rsidP="00687B7D">
      <w:pPr>
        <w:autoSpaceDE w:val="0"/>
        <w:autoSpaceDN w:val="0"/>
        <w:adjustRightInd w:val="0"/>
        <w:spacing w:after="0" w:line="240" w:lineRule="auto"/>
        <w:outlineLvl w:val="0"/>
        <w:rPr>
          <w:sz w:val="22"/>
          <w:szCs w:val="22"/>
        </w:rPr>
      </w:pPr>
      <w:r w:rsidRPr="00730694">
        <w:rPr>
          <w:sz w:val="22"/>
          <w:szCs w:val="22"/>
        </w:rPr>
        <w:t>In order to determine the genetic stock, a fin clip will be taken from each individual as described in Smith and Huff (2019). It is preferable to identify the ESUs, including those that are listed under the U.S. ESA (</w:t>
      </w:r>
      <w:hyperlink r:id="rId8" w:history="1">
        <w:r w:rsidRPr="00730694">
          <w:rPr>
            <w:rStyle w:val="Hyperlink"/>
            <w:sz w:val="22"/>
            <w:szCs w:val="22"/>
          </w:rPr>
          <w:t>https://www.fisheries.noaa.gov/species/chinook-salmon-protected</w:t>
        </w:r>
      </w:hyperlink>
      <w:r w:rsidRPr="00730694">
        <w:rPr>
          <w:sz w:val="22"/>
          <w:szCs w:val="22"/>
        </w:rPr>
        <w:t>). When this is not possible, analysis shall identify samples into the most specific stocks as possible.</w:t>
      </w:r>
    </w:p>
    <w:p w14:paraId="192E868F" w14:textId="78C79BE4" w:rsidR="00394FDE" w:rsidRPr="00730694" w:rsidRDefault="00394FDE" w:rsidP="00820561">
      <w:pPr>
        <w:autoSpaceDE w:val="0"/>
        <w:autoSpaceDN w:val="0"/>
        <w:adjustRightInd w:val="0"/>
        <w:spacing w:after="0" w:line="240" w:lineRule="auto"/>
        <w:outlineLvl w:val="0"/>
        <w:rPr>
          <w:sz w:val="22"/>
          <w:szCs w:val="22"/>
        </w:rPr>
      </w:pPr>
    </w:p>
    <w:p w14:paraId="16970F71" w14:textId="1093CF89" w:rsidR="003267DF" w:rsidRPr="00730694" w:rsidRDefault="003267DF" w:rsidP="00820561">
      <w:pPr>
        <w:autoSpaceDE w:val="0"/>
        <w:autoSpaceDN w:val="0"/>
        <w:adjustRightInd w:val="0"/>
        <w:spacing w:after="0" w:line="240" w:lineRule="auto"/>
        <w:outlineLvl w:val="0"/>
        <w:rPr>
          <w:sz w:val="22"/>
          <w:szCs w:val="22"/>
        </w:rPr>
      </w:pPr>
      <w:r w:rsidRPr="00730694">
        <w:rPr>
          <w:sz w:val="22"/>
          <w:szCs w:val="22"/>
        </w:rPr>
        <w:t>Reporting deliverables shall include results on all the above analyses.</w:t>
      </w:r>
      <w:r w:rsidR="0054512D" w:rsidRPr="00730694">
        <w:rPr>
          <w:sz w:val="22"/>
          <w:szCs w:val="22"/>
        </w:rPr>
        <w:t xml:space="preserve"> </w:t>
      </w:r>
      <w:r w:rsidR="00A555F0" w:rsidRPr="00730694">
        <w:rPr>
          <w:sz w:val="22"/>
          <w:szCs w:val="22"/>
        </w:rPr>
        <w:t>Preliminary summaries</w:t>
      </w:r>
      <w:r w:rsidR="0054512D" w:rsidRPr="00730694">
        <w:rPr>
          <w:sz w:val="22"/>
          <w:szCs w:val="22"/>
        </w:rPr>
        <w:t xml:space="preserve"> and </w:t>
      </w:r>
      <w:r w:rsidR="00A15D7B" w:rsidRPr="00730694">
        <w:rPr>
          <w:sz w:val="22"/>
          <w:szCs w:val="22"/>
        </w:rPr>
        <w:t xml:space="preserve">a </w:t>
      </w:r>
      <w:r w:rsidR="0054512D" w:rsidRPr="00730694">
        <w:rPr>
          <w:sz w:val="22"/>
          <w:szCs w:val="22"/>
        </w:rPr>
        <w:t>technical report will be required.</w:t>
      </w:r>
      <w:r w:rsidRPr="00730694">
        <w:rPr>
          <w:sz w:val="22"/>
          <w:szCs w:val="22"/>
        </w:rPr>
        <w:t xml:space="preserve"> Data deliverables shall include</w:t>
      </w:r>
      <w:r w:rsidR="008F2114" w:rsidRPr="00730694">
        <w:rPr>
          <w:sz w:val="22"/>
          <w:szCs w:val="22"/>
        </w:rPr>
        <w:t xml:space="preserve"> the</w:t>
      </w:r>
      <w:r w:rsidRPr="00730694">
        <w:rPr>
          <w:sz w:val="22"/>
          <w:szCs w:val="22"/>
        </w:rPr>
        <w:t xml:space="preserve"> delivery of telemetry data to the Animal Telemetry Network</w:t>
      </w:r>
      <w:r w:rsidR="0054512D" w:rsidRPr="00730694">
        <w:rPr>
          <w:sz w:val="22"/>
          <w:szCs w:val="22"/>
        </w:rPr>
        <w:t xml:space="preserve"> (ATN)</w:t>
      </w:r>
      <w:r w:rsidRPr="00730694">
        <w:rPr>
          <w:sz w:val="22"/>
          <w:szCs w:val="22"/>
        </w:rPr>
        <w:t>, and if collected also the delivery of tagging vessel data (e.g., vessel track, fish captures, environmental data) to the Navy’s Environmental Information Management System</w:t>
      </w:r>
      <w:r w:rsidR="0054512D" w:rsidRPr="00730694">
        <w:rPr>
          <w:sz w:val="22"/>
          <w:szCs w:val="22"/>
        </w:rPr>
        <w:t xml:space="preserve"> (EIMS)</w:t>
      </w:r>
      <w:r w:rsidR="006F205D" w:rsidRPr="00730694">
        <w:rPr>
          <w:sz w:val="22"/>
          <w:szCs w:val="22"/>
        </w:rPr>
        <w:t xml:space="preserve">. Attendance at the Navy Marine Species Monitoring Program Review Meeting is also required. </w:t>
      </w:r>
    </w:p>
    <w:p w14:paraId="635FF19A" w14:textId="77777777" w:rsidR="00394FDE" w:rsidRPr="00730694" w:rsidRDefault="00394FDE" w:rsidP="00820561">
      <w:pPr>
        <w:autoSpaceDE w:val="0"/>
        <w:autoSpaceDN w:val="0"/>
        <w:adjustRightInd w:val="0"/>
        <w:spacing w:after="0" w:line="240" w:lineRule="auto"/>
        <w:outlineLvl w:val="0"/>
        <w:rPr>
          <w:sz w:val="22"/>
          <w:szCs w:val="22"/>
        </w:rPr>
      </w:pPr>
    </w:p>
    <w:p w14:paraId="6BE31C7B" w14:textId="38972CF4" w:rsidR="00B172E3" w:rsidRPr="00730694" w:rsidRDefault="003267DF" w:rsidP="00820561">
      <w:pPr>
        <w:autoSpaceDE w:val="0"/>
        <w:autoSpaceDN w:val="0"/>
        <w:adjustRightInd w:val="0"/>
        <w:spacing w:line="240" w:lineRule="auto"/>
        <w:rPr>
          <w:sz w:val="22"/>
          <w:szCs w:val="22"/>
        </w:rPr>
      </w:pPr>
      <w:r w:rsidRPr="00730694">
        <w:rPr>
          <w:rFonts w:eastAsia="Times New Roman"/>
          <w:sz w:val="22"/>
          <w:szCs w:val="22"/>
        </w:rPr>
        <w:t xml:space="preserve">Please see enclosure 1 for full </w:t>
      </w:r>
      <w:r w:rsidR="008F2114" w:rsidRPr="00730694">
        <w:rPr>
          <w:rFonts w:eastAsia="Times New Roman"/>
          <w:sz w:val="22"/>
          <w:szCs w:val="22"/>
        </w:rPr>
        <w:t>Scope of Work</w:t>
      </w:r>
      <w:r w:rsidRPr="00730694">
        <w:rPr>
          <w:rFonts w:eastAsia="Times New Roman"/>
          <w:sz w:val="22"/>
          <w:szCs w:val="22"/>
        </w:rPr>
        <w:t xml:space="preserve"> and enclosure 2 for applicable terms and conditions.  </w:t>
      </w:r>
    </w:p>
    <w:p w14:paraId="03D96234" w14:textId="77777777" w:rsidR="00083FA1" w:rsidRPr="00730694" w:rsidRDefault="002B4D11" w:rsidP="00083FA1">
      <w:pPr>
        <w:pStyle w:val="NoSpacing"/>
        <w:rPr>
          <w:rFonts w:ascii="Times New Roman" w:hAnsi="Times New Roman" w:cs="Times New Roman"/>
          <w:b/>
        </w:rPr>
      </w:pPr>
      <w:r w:rsidRPr="00730694">
        <w:rPr>
          <w:rFonts w:ascii="Times New Roman" w:hAnsi="Times New Roman" w:cs="Times New Roman"/>
          <w:b/>
        </w:rPr>
        <w:lastRenderedPageBreak/>
        <w:t>Period of Performance:</w:t>
      </w:r>
    </w:p>
    <w:p w14:paraId="22D30461" w14:textId="0EC73931" w:rsidR="009378D1" w:rsidRPr="00730694" w:rsidRDefault="009378D1" w:rsidP="00083FA1">
      <w:pPr>
        <w:pStyle w:val="NoSpacing"/>
        <w:rPr>
          <w:rFonts w:ascii="Times New Roman" w:hAnsi="Times New Roman" w:cs="Times New Roman"/>
        </w:rPr>
      </w:pPr>
      <w:r w:rsidRPr="00730694">
        <w:rPr>
          <w:rFonts w:ascii="Times New Roman" w:hAnsi="Times New Roman" w:cs="Times New Roman"/>
        </w:rPr>
        <w:t xml:space="preserve">The proposed Period of Performance for the Agreement is effective, date of award, through the </w:t>
      </w:r>
      <w:r w:rsidR="008F2114" w:rsidRPr="00730694">
        <w:rPr>
          <w:rFonts w:ascii="Times New Roman" w:hAnsi="Times New Roman" w:cs="Times New Roman"/>
        </w:rPr>
        <w:t>P</w:t>
      </w:r>
      <w:r w:rsidRPr="00730694">
        <w:rPr>
          <w:rFonts w:ascii="Times New Roman" w:hAnsi="Times New Roman" w:cs="Times New Roman"/>
        </w:rPr>
        <w:t xml:space="preserve">eriod of </w:t>
      </w:r>
      <w:r w:rsidR="008F2114" w:rsidRPr="00730694">
        <w:rPr>
          <w:rFonts w:ascii="Times New Roman" w:hAnsi="Times New Roman" w:cs="Times New Roman"/>
        </w:rPr>
        <w:t>P</w:t>
      </w:r>
      <w:r w:rsidRPr="00730694">
        <w:rPr>
          <w:rFonts w:ascii="Times New Roman" w:hAnsi="Times New Roman" w:cs="Times New Roman"/>
        </w:rPr>
        <w:t>erformance end date. The end date is the anticipated date that the final report is accepted by the Government. However, the parties</w:t>
      </w:r>
      <w:r w:rsidR="00702856">
        <w:rPr>
          <w:rFonts w:ascii="Times New Roman" w:hAnsi="Times New Roman" w:cs="Times New Roman"/>
        </w:rPr>
        <w:t xml:space="preserve"> may extend the period of the Cooperative Agreement</w:t>
      </w:r>
      <w:r w:rsidRPr="00730694">
        <w:rPr>
          <w:rFonts w:ascii="Times New Roman" w:hAnsi="Times New Roman" w:cs="Times New Roman"/>
        </w:rPr>
        <w:t xml:space="preserve"> by written modification. Total duration of this Agreement, including any Option </w:t>
      </w:r>
      <w:r w:rsidR="00D83C42" w:rsidRPr="00730694">
        <w:rPr>
          <w:rFonts w:ascii="Times New Roman" w:hAnsi="Times New Roman" w:cs="Times New Roman"/>
        </w:rPr>
        <w:t>Items</w:t>
      </w:r>
      <w:r w:rsidRPr="00730694">
        <w:rPr>
          <w:rFonts w:ascii="Times New Roman" w:hAnsi="Times New Roman" w:cs="Times New Roman"/>
        </w:rPr>
        <w:t xml:space="preserve"> shall not exceed 60 months. The exercise of any </w:t>
      </w:r>
      <w:r w:rsidR="00D83C42" w:rsidRPr="00730694">
        <w:rPr>
          <w:rFonts w:ascii="Times New Roman" w:hAnsi="Times New Roman" w:cs="Times New Roman"/>
        </w:rPr>
        <w:t>Option Items</w:t>
      </w:r>
      <w:r w:rsidRPr="00730694">
        <w:rPr>
          <w:rFonts w:ascii="Times New Roman" w:hAnsi="Times New Roman" w:cs="Times New Roman"/>
        </w:rPr>
        <w:t xml:space="preserve"> </w:t>
      </w:r>
      <w:r w:rsidR="00083FA1" w:rsidRPr="00730694">
        <w:rPr>
          <w:rFonts w:ascii="Times New Roman" w:hAnsi="Times New Roman" w:cs="Times New Roman"/>
        </w:rPr>
        <w:t xml:space="preserve">are </w:t>
      </w:r>
      <w:r w:rsidRPr="00730694">
        <w:rPr>
          <w:rFonts w:ascii="Times New Roman" w:hAnsi="Times New Roman" w:cs="Times New Roman"/>
        </w:rPr>
        <w:t xml:space="preserve">subject to the availability of funds and may be awarded unilaterally. </w:t>
      </w:r>
    </w:p>
    <w:p w14:paraId="4F4A70D7" w14:textId="67EDFFD2" w:rsidR="0054512D" w:rsidRPr="00730694" w:rsidRDefault="0054512D" w:rsidP="00820561">
      <w:pPr>
        <w:tabs>
          <w:tab w:val="num" w:pos="1440"/>
        </w:tabs>
        <w:spacing w:after="0" w:line="240" w:lineRule="auto"/>
        <w:rPr>
          <w:sz w:val="22"/>
          <w:szCs w:val="22"/>
        </w:rP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985"/>
        <w:gridCol w:w="2601"/>
      </w:tblGrid>
      <w:tr w:rsidR="0054512D" w:rsidRPr="00730694" w14:paraId="1A4E0153" w14:textId="77777777" w:rsidTr="00572598">
        <w:tc>
          <w:tcPr>
            <w:tcW w:w="2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42F35E" w14:textId="633CF703" w:rsidR="0054512D" w:rsidRPr="00730694" w:rsidRDefault="009378D1"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b/>
                <w:color w:val="000000"/>
                <w:sz w:val="22"/>
                <w:szCs w:val="22"/>
              </w:rPr>
            </w:pPr>
            <w:r w:rsidRPr="00730694">
              <w:rPr>
                <w:rFonts w:eastAsia="Calibri"/>
                <w:b/>
                <w:color w:val="000000"/>
                <w:sz w:val="22"/>
                <w:szCs w:val="22"/>
              </w:rPr>
              <w:t>Option Item</w:t>
            </w:r>
          </w:p>
        </w:tc>
        <w:tc>
          <w:tcPr>
            <w:tcW w:w="29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7F4167" w14:textId="77777777" w:rsidR="0054512D" w:rsidRPr="00730694" w:rsidRDefault="0054512D"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b/>
                <w:color w:val="000000"/>
                <w:sz w:val="22"/>
                <w:szCs w:val="22"/>
              </w:rPr>
            </w:pPr>
            <w:r w:rsidRPr="00730694">
              <w:rPr>
                <w:rFonts w:eastAsia="Calibri"/>
                <w:b/>
                <w:color w:val="000000"/>
                <w:sz w:val="22"/>
                <w:szCs w:val="22"/>
              </w:rPr>
              <w:t>Period of Performance</w:t>
            </w:r>
          </w:p>
        </w:tc>
        <w:tc>
          <w:tcPr>
            <w:tcW w:w="2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FCE79A" w14:textId="77777777" w:rsidR="0054512D" w:rsidRPr="00730694" w:rsidRDefault="0054512D"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b/>
                <w:color w:val="000000"/>
                <w:sz w:val="22"/>
                <w:szCs w:val="22"/>
              </w:rPr>
            </w:pPr>
            <w:r w:rsidRPr="00730694">
              <w:rPr>
                <w:rFonts w:eastAsia="Calibri"/>
                <w:b/>
                <w:color w:val="000000"/>
                <w:sz w:val="22"/>
                <w:szCs w:val="22"/>
              </w:rPr>
              <w:t>Anticipated Award Date</w:t>
            </w:r>
          </w:p>
        </w:tc>
      </w:tr>
      <w:tr w:rsidR="0054512D" w:rsidRPr="00730694" w14:paraId="43A24C6C" w14:textId="77777777" w:rsidTr="00572598">
        <w:tc>
          <w:tcPr>
            <w:tcW w:w="2535" w:type="dxa"/>
            <w:tcBorders>
              <w:top w:val="single" w:sz="4" w:space="0" w:color="auto"/>
              <w:left w:val="single" w:sz="4" w:space="0" w:color="auto"/>
              <w:bottom w:val="single" w:sz="4" w:space="0" w:color="auto"/>
              <w:right w:val="single" w:sz="4" w:space="0" w:color="auto"/>
            </w:tcBorders>
            <w:hideMark/>
          </w:tcPr>
          <w:p w14:paraId="3D9582BA" w14:textId="77777777" w:rsidR="0054512D" w:rsidRPr="00730694" w:rsidRDefault="0054512D"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Base Period</w:t>
            </w:r>
          </w:p>
        </w:tc>
        <w:tc>
          <w:tcPr>
            <w:tcW w:w="2982" w:type="dxa"/>
            <w:tcBorders>
              <w:top w:val="single" w:sz="4" w:space="0" w:color="auto"/>
              <w:left w:val="single" w:sz="4" w:space="0" w:color="auto"/>
              <w:bottom w:val="single" w:sz="4" w:space="0" w:color="auto"/>
              <w:right w:val="single" w:sz="4" w:space="0" w:color="auto"/>
            </w:tcBorders>
            <w:hideMark/>
          </w:tcPr>
          <w:p w14:paraId="2BC4EE8A" w14:textId="4B35ED92" w:rsidR="0054512D" w:rsidRPr="00730694" w:rsidRDefault="002E3B25" w:rsidP="002E3B25">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Date of Award</w:t>
            </w:r>
            <w:r w:rsidR="0054512D" w:rsidRPr="00730694">
              <w:rPr>
                <w:rFonts w:eastAsia="Calibri"/>
                <w:color w:val="000000"/>
                <w:sz w:val="22"/>
                <w:szCs w:val="22"/>
              </w:rPr>
              <w:t xml:space="preserve"> – 1</w:t>
            </w:r>
            <w:r w:rsidR="00AF6B1B" w:rsidRPr="00730694">
              <w:rPr>
                <w:rFonts w:eastAsia="Calibri"/>
                <w:color w:val="000000"/>
                <w:sz w:val="22"/>
                <w:szCs w:val="22"/>
              </w:rPr>
              <w:t>5</w:t>
            </w:r>
            <w:r w:rsidR="0054512D" w:rsidRPr="00730694">
              <w:rPr>
                <w:rFonts w:eastAsia="Calibri"/>
                <w:color w:val="000000"/>
                <w:sz w:val="22"/>
                <w:szCs w:val="22"/>
              </w:rPr>
              <w:t xml:space="preserve"> </w:t>
            </w:r>
            <w:r w:rsidRPr="00730694">
              <w:rPr>
                <w:rFonts w:eastAsia="Calibri"/>
                <w:color w:val="000000"/>
                <w:sz w:val="22"/>
                <w:szCs w:val="22"/>
              </w:rPr>
              <w:t>Jun</w:t>
            </w:r>
            <w:r w:rsidR="00925940" w:rsidRPr="00730694">
              <w:rPr>
                <w:rFonts w:eastAsia="Calibri"/>
                <w:color w:val="000000"/>
                <w:sz w:val="22"/>
                <w:szCs w:val="22"/>
              </w:rPr>
              <w:t xml:space="preserve">. </w:t>
            </w:r>
            <w:r w:rsidR="0054512D" w:rsidRPr="00730694">
              <w:rPr>
                <w:rFonts w:eastAsia="Calibri"/>
                <w:color w:val="000000"/>
                <w:sz w:val="22"/>
                <w:szCs w:val="22"/>
              </w:rPr>
              <w:t>202</w:t>
            </w:r>
            <w:r w:rsidR="00AF6B1B" w:rsidRPr="00730694">
              <w:rPr>
                <w:rFonts w:eastAsia="Calibri"/>
                <w:color w:val="000000"/>
                <w:sz w:val="22"/>
                <w:szCs w:val="22"/>
              </w:rPr>
              <w:t>1</w:t>
            </w:r>
          </w:p>
        </w:tc>
        <w:tc>
          <w:tcPr>
            <w:tcW w:w="2601" w:type="dxa"/>
            <w:tcBorders>
              <w:top w:val="single" w:sz="4" w:space="0" w:color="auto"/>
              <w:left w:val="single" w:sz="4" w:space="0" w:color="auto"/>
              <w:bottom w:val="single" w:sz="4" w:space="0" w:color="auto"/>
              <w:right w:val="single" w:sz="4" w:space="0" w:color="auto"/>
            </w:tcBorders>
            <w:hideMark/>
          </w:tcPr>
          <w:p w14:paraId="3CFFFD39" w14:textId="2613D69E" w:rsidR="0054512D" w:rsidRPr="00730694" w:rsidRDefault="0054512D"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Fall</w:t>
            </w:r>
            <w:r w:rsidR="00B172E3" w:rsidRPr="00730694">
              <w:rPr>
                <w:rFonts w:eastAsia="Calibri"/>
                <w:color w:val="000000"/>
                <w:sz w:val="22"/>
                <w:szCs w:val="22"/>
              </w:rPr>
              <w:t>/Winter</w:t>
            </w:r>
            <w:r w:rsidRPr="00730694">
              <w:rPr>
                <w:rFonts w:eastAsia="Calibri"/>
                <w:color w:val="000000"/>
                <w:sz w:val="22"/>
                <w:szCs w:val="22"/>
              </w:rPr>
              <w:t xml:space="preserve"> 2019 </w:t>
            </w:r>
          </w:p>
        </w:tc>
      </w:tr>
      <w:tr w:rsidR="00925940" w:rsidRPr="00730694" w14:paraId="7A2C294E" w14:textId="77777777" w:rsidTr="00572598">
        <w:tc>
          <w:tcPr>
            <w:tcW w:w="2535" w:type="dxa"/>
            <w:tcBorders>
              <w:top w:val="single" w:sz="4" w:space="0" w:color="auto"/>
              <w:left w:val="single" w:sz="4" w:space="0" w:color="auto"/>
              <w:bottom w:val="single" w:sz="4" w:space="0" w:color="auto"/>
              <w:right w:val="single" w:sz="4" w:space="0" w:color="auto"/>
            </w:tcBorders>
          </w:tcPr>
          <w:p w14:paraId="7CEA2D3B" w14:textId="68D041A8" w:rsidR="00925940" w:rsidRPr="00730694" w:rsidRDefault="00925940"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 xml:space="preserve">Option </w:t>
            </w:r>
            <w:r w:rsidR="009378D1" w:rsidRPr="00730694">
              <w:rPr>
                <w:rFonts w:eastAsia="Calibri"/>
                <w:color w:val="000000"/>
                <w:sz w:val="22"/>
                <w:szCs w:val="22"/>
              </w:rPr>
              <w:t>Item</w:t>
            </w:r>
            <w:r w:rsidR="0035705E" w:rsidRPr="00730694">
              <w:rPr>
                <w:rFonts w:eastAsia="Calibri"/>
                <w:color w:val="000000"/>
                <w:sz w:val="22"/>
                <w:szCs w:val="22"/>
              </w:rPr>
              <w:t xml:space="preserve"> </w:t>
            </w:r>
            <w:r w:rsidRPr="00730694">
              <w:rPr>
                <w:rFonts w:eastAsia="Calibri"/>
                <w:color w:val="000000"/>
                <w:sz w:val="22"/>
                <w:szCs w:val="22"/>
              </w:rPr>
              <w:t>1</w:t>
            </w:r>
          </w:p>
        </w:tc>
        <w:tc>
          <w:tcPr>
            <w:tcW w:w="2982" w:type="dxa"/>
            <w:tcBorders>
              <w:top w:val="single" w:sz="4" w:space="0" w:color="auto"/>
              <w:left w:val="single" w:sz="4" w:space="0" w:color="auto"/>
              <w:bottom w:val="single" w:sz="4" w:space="0" w:color="auto"/>
              <w:right w:val="single" w:sz="4" w:space="0" w:color="auto"/>
            </w:tcBorders>
          </w:tcPr>
          <w:p w14:paraId="3ED61F1A" w14:textId="6B474960" w:rsidR="00925940" w:rsidRPr="00730694" w:rsidRDefault="001C0C7A" w:rsidP="007D1269">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 xml:space="preserve">15 </w:t>
            </w:r>
            <w:r w:rsidR="007D1269" w:rsidRPr="00730694">
              <w:rPr>
                <w:rFonts w:eastAsia="Calibri"/>
                <w:color w:val="000000"/>
                <w:sz w:val="22"/>
                <w:szCs w:val="22"/>
              </w:rPr>
              <w:t>Apr.</w:t>
            </w:r>
            <w:r w:rsidRPr="00730694">
              <w:rPr>
                <w:rFonts w:eastAsia="Calibri"/>
                <w:color w:val="000000"/>
                <w:sz w:val="22"/>
                <w:szCs w:val="22"/>
              </w:rPr>
              <w:t xml:space="preserve"> 2020 – 15 </w:t>
            </w:r>
            <w:r w:rsidR="007D1269" w:rsidRPr="00730694">
              <w:rPr>
                <w:rFonts w:eastAsia="Calibri"/>
                <w:color w:val="000000"/>
                <w:sz w:val="22"/>
                <w:szCs w:val="22"/>
              </w:rPr>
              <w:t>Oct.</w:t>
            </w:r>
            <w:r w:rsidR="00925940" w:rsidRPr="00730694">
              <w:rPr>
                <w:rFonts w:eastAsia="Calibri"/>
                <w:color w:val="000000"/>
                <w:sz w:val="22"/>
                <w:szCs w:val="22"/>
              </w:rPr>
              <w:t xml:space="preserve"> 202</w:t>
            </w:r>
            <w:r w:rsidR="00110A4A" w:rsidRPr="00730694">
              <w:rPr>
                <w:rFonts w:eastAsia="Calibri"/>
                <w:color w:val="000000"/>
                <w:sz w:val="22"/>
                <w:szCs w:val="22"/>
              </w:rPr>
              <w:t>1</w:t>
            </w:r>
          </w:p>
        </w:tc>
        <w:tc>
          <w:tcPr>
            <w:tcW w:w="2601" w:type="dxa"/>
            <w:tcBorders>
              <w:top w:val="single" w:sz="4" w:space="0" w:color="auto"/>
              <w:left w:val="single" w:sz="4" w:space="0" w:color="auto"/>
              <w:bottom w:val="single" w:sz="4" w:space="0" w:color="auto"/>
              <w:right w:val="single" w:sz="4" w:space="0" w:color="auto"/>
            </w:tcBorders>
          </w:tcPr>
          <w:p w14:paraId="37740D3A" w14:textId="205965EC" w:rsidR="00925940" w:rsidRPr="00730694" w:rsidRDefault="008802C4"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Winter/</w:t>
            </w:r>
            <w:r w:rsidR="00925940" w:rsidRPr="00730694">
              <w:rPr>
                <w:rFonts w:eastAsia="Calibri"/>
                <w:color w:val="000000"/>
                <w:sz w:val="22"/>
                <w:szCs w:val="22"/>
              </w:rPr>
              <w:t>Spring 2020</w:t>
            </w:r>
          </w:p>
        </w:tc>
      </w:tr>
      <w:tr w:rsidR="0054512D" w:rsidRPr="00730694" w14:paraId="591C5375" w14:textId="77777777" w:rsidTr="00572598">
        <w:tc>
          <w:tcPr>
            <w:tcW w:w="2535" w:type="dxa"/>
            <w:tcBorders>
              <w:top w:val="single" w:sz="4" w:space="0" w:color="auto"/>
              <w:left w:val="single" w:sz="4" w:space="0" w:color="auto"/>
              <w:bottom w:val="single" w:sz="4" w:space="0" w:color="auto"/>
              <w:right w:val="single" w:sz="4" w:space="0" w:color="auto"/>
            </w:tcBorders>
            <w:hideMark/>
          </w:tcPr>
          <w:p w14:paraId="445AA779" w14:textId="7A76CE17" w:rsidR="0054512D" w:rsidRPr="00730694" w:rsidRDefault="00925940"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 xml:space="preserve">Option </w:t>
            </w:r>
            <w:r w:rsidR="009378D1" w:rsidRPr="00730694">
              <w:rPr>
                <w:rFonts w:eastAsia="Calibri"/>
                <w:color w:val="000000"/>
                <w:sz w:val="22"/>
                <w:szCs w:val="22"/>
              </w:rPr>
              <w:t>Item</w:t>
            </w:r>
            <w:r w:rsidRPr="00730694">
              <w:rPr>
                <w:rFonts w:eastAsia="Calibri"/>
                <w:color w:val="000000"/>
                <w:sz w:val="22"/>
                <w:szCs w:val="22"/>
              </w:rPr>
              <w:t xml:space="preserve"> 2</w:t>
            </w:r>
          </w:p>
        </w:tc>
        <w:tc>
          <w:tcPr>
            <w:tcW w:w="2982" w:type="dxa"/>
            <w:tcBorders>
              <w:top w:val="single" w:sz="4" w:space="0" w:color="auto"/>
              <w:left w:val="single" w:sz="4" w:space="0" w:color="auto"/>
              <w:bottom w:val="single" w:sz="4" w:space="0" w:color="auto"/>
              <w:right w:val="single" w:sz="4" w:space="0" w:color="auto"/>
            </w:tcBorders>
            <w:hideMark/>
          </w:tcPr>
          <w:p w14:paraId="64D7976F" w14:textId="362DBA18" w:rsidR="0054512D" w:rsidRPr="00730694" w:rsidRDefault="0054512D" w:rsidP="007D1269">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1</w:t>
            </w:r>
            <w:r w:rsidR="00AF6B1B" w:rsidRPr="00730694">
              <w:rPr>
                <w:rFonts w:eastAsia="Calibri"/>
                <w:color w:val="000000"/>
                <w:sz w:val="22"/>
                <w:szCs w:val="22"/>
              </w:rPr>
              <w:t>5</w:t>
            </w:r>
            <w:r w:rsidRPr="00730694">
              <w:rPr>
                <w:rFonts w:eastAsia="Calibri"/>
                <w:color w:val="000000"/>
                <w:sz w:val="22"/>
                <w:szCs w:val="22"/>
              </w:rPr>
              <w:t xml:space="preserve"> </w:t>
            </w:r>
            <w:r w:rsidR="007D1269" w:rsidRPr="00730694">
              <w:rPr>
                <w:rFonts w:eastAsia="Calibri"/>
                <w:color w:val="000000"/>
                <w:sz w:val="22"/>
                <w:szCs w:val="22"/>
              </w:rPr>
              <w:t>Jun.</w:t>
            </w:r>
            <w:r w:rsidRPr="00730694">
              <w:rPr>
                <w:rFonts w:eastAsia="Calibri"/>
                <w:color w:val="000000"/>
                <w:sz w:val="22"/>
                <w:szCs w:val="22"/>
              </w:rPr>
              <w:t xml:space="preserve"> 2020 – 1</w:t>
            </w:r>
            <w:r w:rsidR="00AF6B1B" w:rsidRPr="00730694">
              <w:rPr>
                <w:rFonts w:eastAsia="Calibri"/>
                <w:color w:val="000000"/>
                <w:sz w:val="22"/>
                <w:szCs w:val="22"/>
              </w:rPr>
              <w:t>5</w:t>
            </w:r>
            <w:r w:rsidRPr="00730694">
              <w:rPr>
                <w:rFonts w:eastAsia="Calibri"/>
                <w:color w:val="000000"/>
                <w:sz w:val="22"/>
                <w:szCs w:val="22"/>
              </w:rPr>
              <w:t xml:space="preserve"> </w:t>
            </w:r>
            <w:r w:rsidR="007D1269" w:rsidRPr="00730694">
              <w:rPr>
                <w:rFonts w:eastAsia="Calibri"/>
                <w:color w:val="000000"/>
                <w:sz w:val="22"/>
                <w:szCs w:val="22"/>
              </w:rPr>
              <w:t>Dec.</w:t>
            </w:r>
            <w:r w:rsidR="00572598" w:rsidRPr="00730694">
              <w:rPr>
                <w:rFonts w:eastAsia="Calibri"/>
                <w:color w:val="000000"/>
                <w:sz w:val="22"/>
                <w:szCs w:val="22"/>
              </w:rPr>
              <w:t xml:space="preserve"> </w:t>
            </w:r>
            <w:r w:rsidRPr="00730694">
              <w:rPr>
                <w:rFonts w:eastAsia="Calibri"/>
                <w:color w:val="000000"/>
                <w:sz w:val="22"/>
                <w:szCs w:val="22"/>
              </w:rPr>
              <w:t>202</w:t>
            </w:r>
            <w:r w:rsidR="00365D65" w:rsidRPr="00730694">
              <w:rPr>
                <w:rFonts w:eastAsia="Calibri"/>
                <w:color w:val="000000"/>
                <w:sz w:val="22"/>
                <w:szCs w:val="22"/>
              </w:rPr>
              <w:t>1</w:t>
            </w:r>
          </w:p>
        </w:tc>
        <w:tc>
          <w:tcPr>
            <w:tcW w:w="2601" w:type="dxa"/>
            <w:tcBorders>
              <w:top w:val="single" w:sz="4" w:space="0" w:color="auto"/>
              <w:left w:val="single" w:sz="4" w:space="0" w:color="auto"/>
              <w:bottom w:val="single" w:sz="4" w:space="0" w:color="auto"/>
              <w:right w:val="single" w:sz="4" w:space="0" w:color="auto"/>
            </w:tcBorders>
            <w:hideMark/>
          </w:tcPr>
          <w:p w14:paraId="3DD96C4B" w14:textId="588BC8AC" w:rsidR="0054512D" w:rsidRPr="00730694" w:rsidRDefault="00572598"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Spring</w:t>
            </w:r>
            <w:r w:rsidR="0054512D" w:rsidRPr="00730694">
              <w:rPr>
                <w:rFonts w:eastAsia="Calibri"/>
                <w:color w:val="000000"/>
                <w:sz w:val="22"/>
                <w:szCs w:val="22"/>
              </w:rPr>
              <w:t xml:space="preserve"> 2020</w:t>
            </w:r>
          </w:p>
        </w:tc>
      </w:tr>
      <w:tr w:rsidR="0054512D" w:rsidRPr="00730694" w14:paraId="64C63280" w14:textId="77777777" w:rsidTr="00572598">
        <w:trPr>
          <w:trHeight w:val="70"/>
        </w:trPr>
        <w:tc>
          <w:tcPr>
            <w:tcW w:w="2535" w:type="dxa"/>
            <w:tcBorders>
              <w:top w:val="single" w:sz="4" w:space="0" w:color="auto"/>
              <w:left w:val="single" w:sz="4" w:space="0" w:color="auto"/>
              <w:bottom w:val="single" w:sz="4" w:space="0" w:color="auto"/>
              <w:right w:val="single" w:sz="4" w:space="0" w:color="auto"/>
            </w:tcBorders>
            <w:hideMark/>
          </w:tcPr>
          <w:p w14:paraId="2EBAA405" w14:textId="1B85EB5F" w:rsidR="0054512D" w:rsidRPr="00730694" w:rsidRDefault="00925940" w:rsidP="009378D1">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 xml:space="preserve">Option </w:t>
            </w:r>
            <w:r w:rsidR="009378D1" w:rsidRPr="00730694">
              <w:rPr>
                <w:rFonts w:eastAsia="Calibri"/>
                <w:color w:val="000000"/>
                <w:sz w:val="22"/>
                <w:szCs w:val="22"/>
              </w:rPr>
              <w:t>Item</w:t>
            </w:r>
            <w:r w:rsidRPr="00730694">
              <w:rPr>
                <w:rFonts w:eastAsia="Calibri"/>
                <w:color w:val="000000"/>
                <w:sz w:val="22"/>
                <w:szCs w:val="22"/>
              </w:rPr>
              <w:t xml:space="preserve"> 3</w:t>
            </w:r>
          </w:p>
        </w:tc>
        <w:tc>
          <w:tcPr>
            <w:tcW w:w="2982" w:type="dxa"/>
            <w:tcBorders>
              <w:top w:val="single" w:sz="4" w:space="0" w:color="auto"/>
              <w:left w:val="single" w:sz="4" w:space="0" w:color="auto"/>
              <w:bottom w:val="single" w:sz="4" w:space="0" w:color="auto"/>
              <w:right w:val="single" w:sz="4" w:space="0" w:color="auto"/>
            </w:tcBorders>
            <w:hideMark/>
          </w:tcPr>
          <w:p w14:paraId="4933189A" w14:textId="2ECA4456" w:rsidR="0054512D" w:rsidRPr="00730694" w:rsidRDefault="0054512D"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1</w:t>
            </w:r>
            <w:r w:rsidR="00AF6B1B" w:rsidRPr="00730694">
              <w:rPr>
                <w:rFonts w:eastAsia="Calibri"/>
                <w:color w:val="000000"/>
                <w:sz w:val="22"/>
                <w:szCs w:val="22"/>
              </w:rPr>
              <w:t>5</w:t>
            </w:r>
            <w:r w:rsidRPr="00730694">
              <w:rPr>
                <w:rFonts w:eastAsia="Calibri"/>
                <w:color w:val="000000"/>
                <w:sz w:val="22"/>
                <w:szCs w:val="22"/>
              </w:rPr>
              <w:t xml:space="preserve"> </w:t>
            </w:r>
            <w:r w:rsidR="00572598" w:rsidRPr="00730694">
              <w:rPr>
                <w:rFonts w:eastAsia="Calibri"/>
                <w:color w:val="000000"/>
                <w:sz w:val="22"/>
                <w:szCs w:val="22"/>
              </w:rPr>
              <w:t>Dec.</w:t>
            </w:r>
            <w:r w:rsidRPr="00730694">
              <w:rPr>
                <w:rFonts w:eastAsia="Calibri"/>
                <w:color w:val="000000"/>
                <w:sz w:val="22"/>
                <w:szCs w:val="22"/>
              </w:rPr>
              <w:t xml:space="preserve"> 202</w:t>
            </w:r>
            <w:r w:rsidR="00572598" w:rsidRPr="00730694">
              <w:rPr>
                <w:rFonts w:eastAsia="Calibri"/>
                <w:color w:val="000000"/>
                <w:sz w:val="22"/>
                <w:szCs w:val="22"/>
              </w:rPr>
              <w:t>0</w:t>
            </w:r>
            <w:r w:rsidRPr="00730694">
              <w:rPr>
                <w:rFonts w:eastAsia="Calibri"/>
                <w:color w:val="000000"/>
                <w:sz w:val="22"/>
                <w:szCs w:val="22"/>
              </w:rPr>
              <w:t xml:space="preserve"> – 1</w:t>
            </w:r>
            <w:r w:rsidR="00AF6B1B" w:rsidRPr="00730694">
              <w:rPr>
                <w:rFonts w:eastAsia="Calibri"/>
                <w:color w:val="000000"/>
                <w:sz w:val="22"/>
                <w:szCs w:val="22"/>
              </w:rPr>
              <w:t>5</w:t>
            </w:r>
            <w:r w:rsidRPr="00730694">
              <w:rPr>
                <w:rFonts w:eastAsia="Calibri"/>
                <w:color w:val="000000"/>
                <w:sz w:val="22"/>
                <w:szCs w:val="22"/>
              </w:rPr>
              <w:t xml:space="preserve"> </w:t>
            </w:r>
            <w:r w:rsidR="00572598" w:rsidRPr="00730694">
              <w:rPr>
                <w:rFonts w:eastAsia="Calibri"/>
                <w:color w:val="000000"/>
                <w:sz w:val="22"/>
                <w:szCs w:val="22"/>
              </w:rPr>
              <w:t xml:space="preserve">Jun. </w:t>
            </w:r>
            <w:r w:rsidRPr="00730694">
              <w:rPr>
                <w:rFonts w:eastAsia="Calibri"/>
                <w:color w:val="000000"/>
                <w:sz w:val="22"/>
                <w:szCs w:val="22"/>
              </w:rPr>
              <w:t>202</w:t>
            </w:r>
            <w:r w:rsidR="00572598" w:rsidRPr="00730694">
              <w:rPr>
                <w:rFonts w:eastAsia="Calibri"/>
                <w:color w:val="000000"/>
                <w:sz w:val="22"/>
                <w:szCs w:val="22"/>
              </w:rPr>
              <w:t>2</w:t>
            </w:r>
          </w:p>
        </w:tc>
        <w:tc>
          <w:tcPr>
            <w:tcW w:w="2601" w:type="dxa"/>
            <w:tcBorders>
              <w:top w:val="single" w:sz="4" w:space="0" w:color="auto"/>
              <w:left w:val="single" w:sz="4" w:space="0" w:color="auto"/>
              <w:bottom w:val="single" w:sz="4" w:space="0" w:color="auto"/>
              <w:right w:val="single" w:sz="4" w:space="0" w:color="auto"/>
            </w:tcBorders>
            <w:hideMark/>
          </w:tcPr>
          <w:p w14:paraId="48439C0B" w14:textId="081BA71C" w:rsidR="0054512D" w:rsidRPr="00730694" w:rsidRDefault="0054512D" w:rsidP="00572598">
            <w:pPr>
              <w:tabs>
                <w:tab w:val="left" w:pos="270"/>
                <w:tab w:val="left" w:pos="2160"/>
                <w:tab w:val="left" w:pos="3600"/>
                <w:tab w:val="left" w:pos="4320"/>
                <w:tab w:val="left" w:pos="5040"/>
                <w:tab w:val="left" w:pos="5760"/>
                <w:tab w:val="left" w:pos="7200"/>
                <w:tab w:val="left" w:pos="7920"/>
                <w:tab w:val="left" w:pos="8640"/>
              </w:tabs>
              <w:adjustRightInd w:val="0"/>
              <w:snapToGrid w:val="0"/>
              <w:spacing w:after="0" w:line="240" w:lineRule="auto"/>
              <w:rPr>
                <w:rFonts w:eastAsia="Calibri"/>
                <w:color w:val="000000"/>
                <w:sz w:val="22"/>
                <w:szCs w:val="22"/>
              </w:rPr>
            </w:pPr>
            <w:r w:rsidRPr="00730694">
              <w:rPr>
                <w:rFonts w:eastAsia="Calibri"/>
                <w:color w:val="000000"/>
                <w:sz w:val="22"/>
                <w:szCs w:val="22"/>
              </w:rPr>
              <w:t>Fall 202</w:t>
            </w:r>
            <w:r w:rsidR="00572598" w:rsidRPr="00730694">
              <w:rPr>
                <w:rFonts w:eastAsia="Calibri"/>
                <w:color w:val="000000"/>
                <w:sz w:val="22"/>
                <w:szCs w:val="22"/>
              </w:rPr>
              <w:t>0</w:t>
            </w:r>
          </w:p>
        </w:tc>
      </w:tr>
      <w:tr w:rsidR="00572598" w:rsidRPr="00730694" w14:paraId="76BECCB4" w14:textId="470244D1" w:rsidTr="0057259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535" w:type="dxa"/>
            <w:tcBorders>
              <w:top w:val="single" w:sz="4" w:space="0" w:color="auto"/>
              <w:left w:val="single" w:sz="4" w:space="0" w:color="auto"/>
              <w:bottom w:val="single" w:sz="4" w:space="0" w:color="auto"/>
              <w:right w:val="single" w:sz="4" w:space="0" w:color="auto"/>
            </w:tcBorders>
          </w:tcPr>
          <w:p w14:paraId="3892E743" w14:textId="208FA975" w:rsidR="00572598" w:rsidRPr="00730694" w:rsidRDefault="00572598" w:rsidP="009378D1">
            <w:pPr>
              <w:tabs>
                <w:tab w:val="num" w:pos="1440"/>
              </w:tabs>
              <w:spacing w:after="0" w:line="240" w:lineRule="auto"/>
              <w:rPr>
                <w:sz w:val="22"/>
                <w:szCs w:val="22"/>
              </w:rPr>
            </w:pPr>
            <w:r w:rsidRPr="00730694">
              <w:rPr>
                <w:sz w:val="22"/>
                <w:szCs w:val="22"/>
              </w:rPr>
              <w:t xml:space="preserve">Option </w:t>
            </w:r>
            <w:r w:rsidR="009378D1" w:rsidRPr="00730694">
              <w:rPr>
                <w:sz w:val="22"/>
                <w:szCs w:val="22"/>
              </w:rPr>
              <w:t xml:space="preserve">Item </w:t>
            </w:r>
            <w:r w:rsidRPr="00730694">
              <w:rPr>
                <w:sz w:val="22"/>
                <w:szCs w:val="22"/>
              </w:rPr>
              <w:t>4</w:t>
            </w:r>
          </w:p>
        </w:tc>
        <w:tc>
          <w:tcPr>
            <w:tcW w:w="2985" w:type="dxa"/>
            <w:tcBorders>
              <w:left w:val="single" w:sz="4" w:space="0" w:color="auto"/>
              <w:bottom w:val="single" w:sz="4" w:space="0" w:color="auto"/>
            </w:tcBorders>
          </w:tcPr>
          <w:p w14:paraId="00B87C63" w14:textId="4A4217D4" w:rsidR="00572598" w:rsidRPr="00730694" w:rsidRDefault="00572598" w:rsidP="00572598">
            <w:pPr>
              <w:tabs>
                <w:tab w:val="num" w:pos="1440"/>
              </w:tabs>
              <w:spacing w:after="0" w:line="240" w:lineRule="auto"/>
              <w:rPr>
                <w:sz w:val="22"/>
                <w:szCs w:val="22"/>
              </w:rPr>
            </w:pPr>
            <w:r w:rsidRPr="00730694">
              <w:rPr>
                <w:sz w:val="22"/>
                <w:szCs w:val="22"/>
              </w:rPr>
              <w:t>15 Dec. 2021 – 15 Jun. 2023</w:t>
            </w:r>
          </w:p>
        </w:tc>
        <w:tc>
          <w:tcPr>
            <w:tcW w:w="2598" w:type="dxa"/>
            <w:tcBorders>
              <w:left w:val="single" w:sz="4" w:space="0" w:color="auto"/>
              <w:bottom w:val="single" w:sz="4" w:space="0" w:color="auto"/>
              <w:right w:val="single" w:sz="4" w:space="0" w:color="auto"/>
            </w:tcBorders>
          </w:tcPr>
          <w:p w14:paraId="3D16E78F" w14:textId="352A0475" w:rsidR="00572598" w:rsidRPr="00730694" w:rsidRDefault="00572598" w:rsidP="00572598">
            <w:pPr>
              <w:tabs>
                <w:tab w:val="num" w:pos="1440"/>
              </w:tabs>
              <w:spacing w:after="0" w:line="240" w:lineRule="auto"/>
              <w:rPr>
                <w:sz w:val="22"/>
                <w:szCs w:val="22"/>
              </w:rPr>
            </w:pPr>
            <w:r w:rsidRPr="00730694">
              <w:rPr>
                <w:sz w:val="22"/>
                <w:szCs w:val="22"/>
              </w:rPr>
              <w:t>Fall 2021</w:t>
            </w:r>
          </w:p>
        </w:tc>
      </w:tr>
    </w:tbl>
    <w:p w14:paraId="307C101B" w14:textId="77777777" w:rsidR="0054512D" w:rsidRPr="00730694" w:rsidRDefault="0054512D" w:rsidP="00820561">
      <w:pPr>
        <w:tabs>
          <w:tab w:val="num" w:pos="1440"/>
        </w:tabs>
        <w:spacing w:after="0" w:line="240" w:lineRule="auto"/>
        <w:rPr>
          <w:sz w:val="22"/>
          <w:szCs w:val="22"/>
        </w:rPr>
      </w:pPr>
    </w:p>
    <w:p w14:paraId="2F0794D5" w14:textId="4912C66A" w:rsidR="005B39C5" w:rsidRPr="00730694" w:rsidRDefault="005B39C5" w:rsidP="00820561">
      <w:pPr>
        <w:tabs>
          <w:tab w:val="num" w:pos="1440"/>
        </w:tabs>
        <w:spacing w:after="0" w:line="240" w:lineRule="auto"/>
        <w:rPr>
          <w:sz w:val="22"/>
          <w:szCs w:val="22"/>
        </w:rPr>
      </w:pPr>
      <w:r w:rsidRPr="00730694">
        <w:rPr>
          <w:sz w:val="22"/>
          <w:szCs w:val="22"/>
        </w:rPr>
        <w:t xml:space="preserve">A fifteen (15) day period, starting on date of </w:t>
      </w:r>
      <w:r w:rsidR="008F2114" w:rsidRPr="00730694">
        <w:rPr>
          <w:sz w:val="22"/>
          <w:szCs w:val="22"/>
        </w:rPr>
        <w:t>a</w:t>
      </w:r>
      <w:r w:rsidR="00F65932" w:rsidRPr="00730694">
        <w:rPr>
          <w:sz w:val="22"/>
          <w:szCs w:val="22"/>
        </w:rPr>
        <w:t xml:space="preserve">ward, will be used for the </w:t>
      </w:r>
      <w:r w:rsidR="009F22C9" w:rsidRPr="00730694">
        <w:rPr>
          <w:sz w:val="22"/>
          <w:szCs w:val="22"/>
        </w:rPr>
        <w:t xml:space="preserve">cooperator </w:t>
      </w:r>
      <w:r w:rsidR="00794B3E" w:rsidRPr="00730694">
        <w:rPr>
          <w:sz w:val="22"/>
          <w:szCs w:val="22"/>
        </w:rPr>
        <w:t>to</w:t>
      </w:r>
      <w:r w:rsidRPr="00730694">
        <w:rPr>
          <w:sz w:val="22"/>
          <w:szCs w:val="22"/>
        </w:rPr>
        <w:t xml:space="preserve"> provide preliminary documents to the </w:t>
      </w:r>
      <w:r w:rsidR="00794B3E" w:rsidRPr="00730694">
        <w:rPr>
          <w:sz w:val="22"/>
          <w:szCs w:val="22"/>
        </w:rPr>
        <w:t>Cooperative Agreement Administrator (</w:t>
      </w:r>
      <w:r w:rsidRPr="00730694">
        <w:rPr>
          <w:sz w:val="22"/>
          <w:szCs w:val="22"/>
        </w:rPr>
        <w:t>CAA</w:t>
      </w:r>
      <w:r w:rsidR="00794B3E" w:rsidRPr="00730694">
        <w:rPr>
          <w:sz w:val="22"/>
          <w:szCs w:val="22"/>
        </w:rPr>
        <w:t>)</w:t>
      </w:r>
      <w:r w:rsidRPr="00730694">
        <w:rPr>
          <w:sz w:val="22"/>
          <w:szCs w:val="22"/>
        </w:rPr>
        <w:t xml:space="preserve"> and</w:t>
      </w:r>
      <w:r w:rsidR="00794B3E" w:rsidRPr="00730694">
        <w:rPr>
          <w:sz w:val="22"/>
          <w:szCs w:val="22"/>
        </w:rPr>
        <w:t xml:space="preserve"> Cooperative Agreement Technical Representative (</w:t>
      </w:r>
      <w:r w:rsidRPr="00730694">
        <w:rPr>
          <w:sz w:val="22"/>
          <w:szCs w:val="22"/>
        </w:rPr>
        <w:t>CATR</w:t>
      </w:r>
      <w:r w:rsidR="00794B3E" w:rsidRPr="00730694">
        <w:rPr>
          <w:sz w:val="22"/>
          <w:szCs w:val="22"/>
        </w:rPr>
        <w:t>)</w:t>
      </w:r>
      <w:r w:rsidRPr="00730694">
        <w:rPr>
          <w:sz w:val="22"/>
          <w:szCs w:val="22"/>
        </w:rPr>
        <w:t xml:space="preserve">.  Documents include, but are not limited to, Insurance documents/certificates, Accident Prevention Plans/Site Health and Safety Plans (as applicable), Draft Work Plans, etc.  </w:t>
      </w:r>
      <w:r w:rsidR="00794B3E" w:rsidRPr="00730694">
        <w:rPr>
          <w:sz w:val="22"/>
          <w:szCs w:val="22"/>
        </w:rPr>
        <w:t>Recipient may</w:t>
      </w:r>
      <w:r w:rsidRPr="00730694">
        <w:rPr>
          <w:sz w:val="22"/>
          <w:szCs w:val="22"/>
        </w:rPr>
        <w:t xml:space="preserve"> not begin performance until preliminary documents are submitted and accepted/approved as appropriate.</w:t>
      </w:r>
    </w:p>
    <w:p w14:paraId="456593FB" w14:textId="1B260973" w:rsidR="009F22C9" w:rsidRPr="00730694" w:rsidRDefault="009F22C9" w:rsidP="00820561">
      <w:pPr>
        <w:tabs>
          <w:tab w:val="num" w:pos="1440"/>
        </w:tabs>
        <w:spacing w:after="0" w:line="240" w:lineRule="auto"/>
        <w:rPr>
          <w:sz w:val="22"/>
          <w:szCs w:val="22"/>
        </w:rPr>
      </w:pPr>
    </w:p>
    <w:p w14:paraId="7D77D36E" w14:textId="77777777" w:rsidR="009F22C9" w:rsidRPr="00730694" w:rsidRDefault="009F22C9" w:rsidP="009F22C9">
      <w:pPr>
        <w:pStyle w:val="BodyTextIndent"/>
        <w:keepLines/>
        <w:ind w:left="0"/>
        <w:rPr>
          <w:rFonts w:eastAsia="Adobe Fan Heiti Std B"/>
          <w:bCs/>
          <w:sz w:val="22"/>
          <w:szCs w:val="22"/>
        </w:rPr>
      </w:pPr>
      <w:r w:rsidRPr="00730694">
        <w:rPr>
          <w:rFonts w:eastAsia="Adobe Fan Heiti Std B"/>
          <w:bCs/>
          <w:sz w:val="22"/>
          <w:szCs w:val="22"/>
        </w:rPr>
        <w:t xml:space="preserve">The Base Period is a non-severable completion-based service that results in a comprehensive deliverable (Task 4 – Analysis and Technical Report).  </w:t>
      </w:r>
    </w:p>
    <w:p w14:paraId="77F512AF" w14:textId="77777777" w:rsidR="005B39C5" w:rsidRPr="00730694" w:rsidRDefault="005B39C5" w:rsidP="00820561">
      <w:pPr>
        <w:widowControl w:val="0"/>
        <w:spacing w:after="0" w:line="240" w:lineRule="auto"/>
        <w:outlineLvl w:val="1"/>
        <w:rPr>
          <w:rFonts w:eastAsia="Times New Roman"/>
          <w:b/>
          <w:bCs/>
          <w:spacing w:val="-1"/>
          <w:sz w:val="22"/>
          <w:szCs w:val="22"/>
        </w:rPr>
      </w:pPr>
      <w:r w:rsidRPr="00730694">
        <w:rPr>
          <w:rFonts w:eastAsia="Times New Roman"/>
          <w:b/>
          <w:bCs/>
          <w:sz w:val="22"/>
          <w:szCs w:val="22"/>
        </w:rPr>
        <w:t xml:space="preserve">Materials </w:t>
      </w:r>
      <w:r w:rsidRPr="00730694">
        <w:rPr>
          <w:rFonts w:eastAsia="Times New Roman"/>
          <w:b/>
          <w:bCs/>
          <w:spacing w:val="-1"/>
          <w:sz w:val="22"/>
          <w:szCs w:val="22"/>
        </w:rPr>
        <w:t>Requested</w:t>
      </w:r>
      <w:r w:rsidRPr="00730694">
        <w:rPr>
          <w:rFonts w:eastAsia="Times New Roman"/>
          <w:b/>
          <w:bCs/>
          <w:sz w:val="22"/>
          <w:szCs w:val="22"/>
        </w:rPr>
        <w:t xml:space="preserve"> </w:t>
      </w:r>
      <w:r w:rsidRPr="00730694">
        <w:rPr>
          <w:rFonts w:eastAsia="Times New Roman"/>
          <w:b/>
          <w:bCs/>
          <w:spacing w:val="-1"/>
          <w:sz w:val="22"/>
          <w:szCs w:val="22"/>
        </w:rPr>
        <w:t>for</w:t>
      </w:r>
      <w:r w:rsidRPr="00730694">
        <w:rPr>
          <w:rFonts w:eastAsia="Times New Roman"/>
          <w:b/>
          <w:bCs/>
          <w:sz w:val="22"/>
          <w:szCs w:val="22"/>
        </w:rPr>
        <w:t xml:space="preserve"> Statement of </w:t>
      </w:r>
      <w:r w:rsidRPr="00730694">
        <w:rPr>
          <w:rFonts w:eastAsia="Times New Roman"/>
          <w:b/>
          <w:bCs/>
          <w:spacing w:val="-1"/>
          <w:sz w:val="22"/>
          <w:szCs w:val="22"/>
        </w:rPr>
        <w:t>Interest/Qualifications:</w:t>
      </w:r>
    </w:p>
    <w:p w14:paraId="0FDACA73" w14:textId="6D67D36B" w:rsidR="005B39C5" w:rsidRPr="00730694" w:rsidRDefault="005B39C5" w:rsidP="00820561">
      <w:pPr>
        <w:widowControl w:val="0"/>
        <w:spacing w:after="0" w:line="240" w:lineRule="auto"/>
        <w:outlineLvl w:val="1"/>
        <w:rPr>
          <w:rFonts w:eastAsia="Times New Roman"/>
          <w:sz w:val="22"/>
          <w:szCs w:val="22"/>
        </w:rPr>
      </w:pPr>
      <w:r w:rsidRPr="00730694">
        <w:rPr>
          <w:rFonts w:eastAsia="Times New Roman"/>
          <w:sz w:val="22"/>
          <w:szCs w:val="22"/>
        </w:rPr>
        <w:t xml:space="preserve">Please provide the following via e-mail attachment to: </w:t>
      </w:r>
      <w:r w:rsidR="00730694" w:rsidRPr="00730694">
        <w:rPr>
          <w:rFonts w:eastAsia="Times New Roman"/>
          <w:sz w:val="22"/>
          <w:szCs w:val="22"/>
        </w:rPr>
        <w:t>Kellie Wilson</w:t>
      </w:r>
      <w:r w:rsidRPr="00730694">
        <w:rPr>
          <w:rFonts w:eastAsia="Times New Roman"/>
          <w:sz w:val="22"/>
          <w:szCs w:val="22"/>
        </w:rPr>
        <w:t xml:space="preserve"> (</w:t>
      </w:r>
      <w:hyperlink r:id="rId9" w:history="1">
        <w:r w:rsidR="00730694" w:rsidRPr="00730694">
          <w:rPr>
            <w:rStyle w:val="Hyperlink"/>
            <w:rFonts w:eastAsia="Times New Roman"/>
            <w:sz w:val="22"/>
            <w:szCs w:val="22"/>
          </w:rPr>
          <w:t>kellie.wilson@navy.mil</w:t>
        </w:r>
      </w:hyperlink>
      <w:r w:rsidRPr="00730694">
        <w:rPr>
          <w:rFonts w:eastAsia="Times New Roman"/>
          <w:sz w:val="22"/>
          <w:szCs w:val="22"/>
        </w:rPr>
        <w:t>).</w:t>
      </w:r>
    </w:p>
    <w:p w14:paraId="57954F74" w14:textId="77777777" w:rsidR="005B39C5" w:rsidRPr="00730694" w:rsidRDefault="005B39C5" w:rsidP="00820561">
      <w:pPr>
        <w:widowControl w:val="0"/>
        <w:numPr>
          <w:ilvl w:val="0"/>
          <w:numId w:val="8"/>
        </w:numPr>
        <w:spacing w:before="100" w:beforeAutospacing="1" w:after="100" w:afterAutospacing="1" w:line="240" w:lineRule="auto"/>
        <w:ind w:right="168"/>
        <w:rPr>
          <w:rFonts w:eastAsia="Times New Roman"/>
          <w:sz w:val="22"/>
          <w:szCs w:val="22"/>
        </w:rPr>
      </w:pPr>
      <w:r w:rsidRPr="00730694">
        <w:rPr>
          <w:rFonts w:eastAsia="Times New Roman"/>
          <w:sz w:val="22"/>
          <w:szCs w:val="22"/>
        </w:rPr>
        <w:t>SF 424 (Enclosure 3)</w:t>
      </w:r>
    </w:p>
    <w:p w14:paraId="1615FF64" w14:textId="77777777" w:rsidR="005B39C5" w:rsidRPr="00730694" w:rsidRDefault="005B39C5" w:rsidP="00820561">
      <w:pPr>
        <w:widowControl w:val="0"/>
        <w:numPr>
          <w:ilvl w:val="0"/>
          <w:numId w:val="8"/>
        </w:numPr>
        <w:spacing w:before="100" w:beforeAutospacing="1" w:after="100" w:afterAutospacing="1" w:line="240" w:lineRule="auto"/>
        <w:ind w:right="168"/>
        <w:rPr>
          <w:rFonts w:eastAsia="Times New Roman"/>
          <w:sz w:val="22"/>
          <w:szCs w:val="22"/>
        </w:rPr>
      </w:pPr>
      <w:r w:rsidRPr="00730694">
        <w:rPr>
          <w:rFonts w:eastAsia="Times New Roman"/>
          <w:sz w:val="22"/>
          <w:szCs w:val="22"/>
        </w:rPr>
        <w:t xml:space="preserve">Research &amp; Related Senior/Key Personnel Form (Enclosure 4). Please see Factor 1 for additional submittal requirements.  </w:t>
      </w:r>
    </w:p>
    <w:p w14:paraId="64F36888" w14:textId="77777777" w:rsidR="005B39C5" w:rsidRPr="00730694" w:rsidRDefault="005B39C5" w:rsidP="00820561">
      <w:pPr>
        <w:widowControl w:val="0"/>
        <w:numPr>
          <w:ilvl w:val="0"/>
          <w:numId w:val="8"/>
        </w:numPr>
        <w:spacing w:before="100" w:beforeAutospacing="1" w:after="100" w:afterAutospacing="1" w:line="240" w:lineRule="auto"/>
        <w:ind w:right="168"/>
        <w:rPr>
          <w:rFonts w:eastAsia="Times New Roman"/>
          <w:sz w:val="22"/>
          <w:szCs w:val="22"/>
        </w:rPr>
      </w:pPr>
      <w:r w:rsidRPr="00730694">
        <w:rPr>
          <w:rFonts w:eastAsia="Times New Roman"/>
          <w:sz w:val="22"/>
          <w:szCs w:val="22"/>
        </w:rPr>
        <w:t>Research &amp; Related Budget Form (Enclosure 5).  Please see Factor 3 for additional submittal requirements.</w:t>
      </w:r>
    </w:p>
    <w:p w14:paraId="68FE1500" w14:textId="77777777" w:rsidR="005B39C5" w:rsidRPr="00730694" w:rsidRDefault="005B39C5" w:rsidP="00820561">
      <w:pPr>
        <w:widowControl w:val="0"/>
        <w:numPr>
          <w:ilvl w:val="0"/>
          <w:numId w:val="8"/>
        </w:numPr>
        <w:spacing w:before="100" w:beforeAutospacing="1" w:after="100" w:afterAutospacing="1" w:line="240" w:lineRule="auto"/>
        <w:ind w:right="168"/>
        <w:rPr>
          <w:rFonts w:eastAsia="Times New Roman"/>
          <w:sz w:val="22"/>
          <w:szCs w:val="22"/>
        </w:rPr>
      </w:pPr>
      <w:r w:rsidRPr="00730694">
        <w:rPr>
          <w:rFonts w:eastAsia="Times New Roman"/>
          <w:sz w:val="22"/>
          <w:szCs w:val="22"/>
        </w:rPr>
        <w:t>SF-LLL Disclosure of Lobbying Activities (Enclosure 6). If applicable, complete SF- LLL.  Applicability: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the grant/cooperative agreement, you must complete and submit Standard Form - LLL, "Disclosure Form to Report Lobbying.”</w:t>
      </w:r>
    </w:p>
    <w:p w14:paraId="76789AE8" w14:textId="77777777" w:rsidR="005B39C5" w:rsidRPr="00730694" w:rsidRDefault="005B39C5" w:rsidP="00820561">
      <w:pPr>
        <w:widowControl w:val="0"/>
        <w:numPr>
          <w:ilvl w:val="0"/>
          <w:numId w:val="8"/>
        </w:numPr>
        <w:spacing w:after="0" w:line="240" w:lineRule="auto"/>
        <w:ind w:right="168"/>
        <w:rPr>
          <w:rFonts w:eastAsia="Times New Roman"/>
          <w:sz w:val="22"/>
          <w:szCs w:val="22"/>
        </w:rPr>
      </w:pPr>
      <w:r w:rsidRPr="00730694">
        <w:rPr>
          <w:rFonts w:eastAsia="Times New Roman"/>
          <w:sz w:val="22"/>
          <w:szCs w:val="22"/>
        </w:rPr>
        <w:t>Research &amp; Related Senior/Key Personnel Form (Enclosure 7). The Federal Government has a continuing commitment to monitor the operation of its review and award processes to identify and address any inequities based on gender, race, ethnicity, or disability of its proposed PDs/PIs and co-PDs/PIs. To gather information needed for this important task, the applicant should submit the requested information for each identified PD/PI and co-PDs/PIs with each proposal. Submission of the requested information is voluntary and is not a precondition of award. However, information not submitted will seriously undermine the statistical validity, and therefore the usefulness, of information received from others. Any individual not wishing to submit some or all the information should check the box provided for this purpose. Upon receipt of the application, this form will be separated from the application. This form will not be duplicated, and it will not be a part of the review process. Data will be confidential.</w:t>
      </w:r>
    </w:p>
    <w:p w14:paraId="71D9B56A" w14:textId="096140D9" w:rsidR="00794B3E" w:rsidRPr="00730694" w:rsidRDefault="00794B3E" w:rsidP="00820561">
      <w:pPr>
        <w:widowControl w:val="0"/>
        <w:spacing w:before="100" w:beforeAutospacing="1" w:after="100" w:afterAutospacing="1" w:line="240" w:lineRule="auto"/>
        <w:ind w:right="168"/>
        <w:rPr>
          <w:rFonts w:eastAsia="Times New Roman"/>
          <w:spacing w:val="-1"/>
          <w:sz w:val="22"/>
          <w:szCs w:val="22"/>
        </w:rPr>
      </w:pPr>
      <w:r w:rsidRPr="00730694">
        <w:rPr>
          <w:rFonts w:eastAsia="Times New Roman"/>
          <w:spacing w:val="-1"/>
          <w:sz w:val="22"/>
          <w:szCs w:val="22"/>
        </w:rPr>
        <w:lastRenderedPageBreak/>
        <w:t>**</w:t>
      </w:r>
      <w:r w:rsidR="005B39C5" w:rsidRPr="00730694">
        <w:rPr>
          <w:rFonts w:eastAsia="Times New Roman"/>
          <w:spacing w:val="-1"/>
          <w:sz w:val="22"/>
          <w:szCs w:val="22"/>
        </w:rPr>
        <w:t>Reimbursement</w:t>
      </w:r>
      <w:r w:rsidR="005B39C5" w:rsidRPr="00730694">
        <w:rPr>
          <w:rFonts w:eastAsia="Times New Roman"/>
          <w:sz w:val="22"/>
          <w:szCs w:val="22"/>
        </w:rPr>
        <w:t xml:space="preserve"> of</w:t>
      </w:r>
      <w:r w:rsidR="005B39C5" w:rsidRPr="00730694">
        <w:rPr>
          <w:rFonts w:eastAsia="Times New Roman"/>
          <w:spacing w:val="-1"/>
          <w:sz w:val="22"/>
          <w:szCs w:val="22"/>
        </w:rPr>
        <w:t xml:space="preserve"> pre-award</w:t>
      </w:r>
      <w:r w:rsidR="005B39C5" w:rsidRPr="00730694">
        <w:rPr>
          <w:rFonts w:eastAsia="Times New Roman"/>
          <w:sz w:val="22"/>
          <w:szCs w:val="22"/>
        </w:rPr>
        <w:t xml:space="preserve"> costs will not </w:t>
      </w:r>
      <w:r w:rsidR="005B39C5" w:rsidRPr="00730694">
        <w:rPr>
          <w:rFonts w:eastAsia="Times New Roman"/>
          <w:spacing w:val="-1"/>
          <w:sz w:val="22"/>
          <w:szCs w:val="22"/>
        </w:rPr>
        <w:t>be</w:t>
      </w:r>
      <w:r w:rsidR="005B39C5" w:rsidRPr="00730694">
        <w:rPr>
          <w:rFonts w:eastAsia="Times New Roman"/>
          <w:sz w:val="22"/>
          <w:szCs w:val="22"/>
        </w:rPr>
        <w:t xml:space="preserve"> </w:t>
      </w:r>
      <w:r w:rsidR="005B39C5" w:rsidRPr="00730694">
        <w:rPr>
          <w:rFonts w:eastAsia="Times New Roman"/>
          <w:spacing w:val="-1"/>
          <w:sz w:val="22"/>
          <w:szCs w:val="22"/>
        </w:rPr>
        <w:t>allowed.</w:t>
      </w:r>
    </w:p>
    <w:p w14:paraId="043FC40A" w14:textId="2F3D53AB" w:rsidR="005B39C5" w:rsidRPr="00730694" w:rsidRDefault="00794B3E" w:rsidP="00496045">
      <w:pPr>
        <w:widowControl w:val="0"/>
        <w:spacing w:before="100" w:beforeAutospacing="1" w:after="100" w:afterAutospacing="1" w:line="240" w:lineRule="auto"/>
        <w:ind w:right="168"/>
        <w:rPr>
          <w:rFonts w:eastAsia="Times New Roman"/>
          <w:sz w:val="22"/>
          <w:szCs w:val="22"/>
        </w:rPr>
      </w:pPr>
      <w:r w:rsidRPr="00730694">
        <w:rPr>
          <w:rFonts w:eastAsia="Times New Roman"/>
          <w:sz w:val="22"/>
          <w:szCs w:val="22"/>
        </w:rPr>
        <w:t>**</w:t>
      </w:r>
      <w:r w:rsidR="005B39C5" w:rsidRPr="00730694">
        <w:rPr>
          <w:rFonts w:eastAsia="Times New Roman"/>
          <w:sz w:val="22"/>
          <w:szCs w:val="22"/>
        </w:rPr>
        <w:t xml:space="preserve">Please note, that some of the forms functionality may be lost.  Please visit </w:t>
      </w:r>
      <w:hyperlink r:id="rId10" w:anchor="sortby=1" w:history="1">
        <w:r w:rsidR="005B39C5" w:rsidRPr="00730694">
          <w:rPr>
            <w:rFonts w:eastAsia="Times New Roman"/>
            <w:color w:val="0000FF"/>
            <w:sz w:val="22"/>
            <w:szCs w:val="22"/>
            <w:u w:val="single"/>
          </w:rPr>
          <w:t>https://www.grants.gov/web/grants/forms/r-r-family.html#sortby=1</w:t>
        </w:r>
      </w:hyperlink>
      <w:r w:rsidR="005B39C5" w:rsidRPr="00730694">
        <w:rPr>
          <w:rFonts w:eastAsia="Times New Roman"/>
          <w:sz w:val="22"/>
          <w:szCs w:val="22"/>
        </w:rPr>
        <w:t xml:space="preserve"> to retrieve the forms directly from the Grants.gov website.  </w:t>
      </w:r>
    </w:p>
    <w:p w14:paraId="7686711D" w14:textId="77777777" w:rsidR="00D164CD" w:rsidRPr="00730694" w:rsidRDefault="00657B78" w:rsidP="00820561">
      <w:pPr>
        <w:autoSpaceDE w:val="0"/>
        <w:autoSpaceDN w:val="0"/>
        <w:adjustRightInd w:val="0"/>
        <w:spacing w:after="0" w:line="240" w:lineRule="auto"/>
        <w:rPr>
          <w:b/>
          <w:bCs/>
          <w:sz w:val="22"/>
          <w:szCs w:val="22"/>
        </w:rPr>
      </w:pPr>
      <w:r w:rsidRPr="00730694">
        <w:rPr>
          <w:b/>
          <w:bCs/>
          <w:sz w:val="22"/>
          <w:szCs w:val="22"/>
        </w:rPr>
        <w:t xml:space="preserve">Review of Statements Received: </w:t>
      </w:r>
    </w:p>
    <w:p w14:paraId="05674304" w14:textId="77777777" w:rsidR="00D46480" w:rsidRPr="00730694" w:rsidRDefault="00D46480" w:rsidP="00820561">
      <w:pPr>
        <w:spacing w:after="0" w:line="240" w:lineRule="auto"/>
        <w:ind w:right="173"/>
        <w:rPr>
          <w:rFonts w:eastAsia="Times New Roman"/>
          <w:spacing w:val="-1"/>
          <w:sz w:val="22"/>
          <w:szCs w:val="22"/>
        </w:rPr>
      </w:pPr>
      <w:r w:rsidRPr="00730694">
        <w:rPr>
          <w:rFonts w:eastAsia="Times New Roman"/>
          <w:spacing w:val="-1"/>
          <w:sz w:val="22"/>
          <w:szCs w:val="22"/>
        </w:rPr>
        <w:t>Proposals</w:t>
      </w:r>
      <w:r w:rsidRPr="00730694">
        <w:rPr>
          <w:rFonts w:eastAsia="Times New Roman"/>
          <w:sz w:val="22"/>
          <w:szCs w:val="22"/>
        </w:rPr>
        <w:t xml:space="preserve"> will be evaluated based on the following three factors: 1) Credentials of Key Personnel, </w:t>
      </w:r>
      <w:r w:rsidRPr="00730694">
        <w:rPr>
          <w:rFonts w:eastAsia="Times New Roman"/>
          <w:spacing w:val="-1"/>
          <w:sz w:val="22"/>
          <w:szCs w:val="22"/>
        </w:rPr>
        <w:t>2) Scientific Approach, and 3) Reasonableness of Cost</w:t>
      </w:r>
    </w:p>
    <w:p w14:paraId="6582B65C" w14:textId="77777777" w:rsidR="00D46480" w:rsidRPr="00730694" w:rsidRDefault="00D46480" w:rsidP="00820561">
      <w:pPr>
        <w:spacing w:after="0" w:line="240" w:lineRule="auto"/>
        <w:rPr>
          <w:rFonts w:eastAsia="Times New Roman"/>
          <w:sz w:val="22"/>
          <w:szCs w:val="22"/>
        </w:rPr>
      </w:pPr>
    </w:p>
    <w:p w14:paraId="43DE7070" w14:textId="39907898" w:rsidR="003F31F0" w:rsidRPr="00730694" w:rsidRDefault="00D46480" w:rsidP="00820561">
      <w:pPr>
        <w:spacing w:after="0" w:line="240" w:lineRule="auto"/>
        <w:rPr>
          <w:rFonts w:eastAsia="Times New Roman"/>
          <w:sz w:val="22"/>
          <w:szCs w:val="22"/>
        </w:rPr>
      </w:pPr>
      <w:r w:rsidRPr="00730694">
        <w:rPr>
          <w:rFonts w:eastAsia="Times New Roman"/>
          <w:sz w:val="22"/>
          <w:szCs w:val="22"/>
        </w:rPr>
        <w:t>NOTE:  All requirements listed are minimum requirements.  Offerors will be assessed on their ability to adhere to the listed requirements, completeness of responses, follow directions, comply with restrictions and provide quality control on their submittals.  All page limits refer to 12 point font and single spaced one-sided pages.</w:t>
      </w:r>
    </w:p>
    <w:p w14:paraId="766F41AC" w14:textId="77777777" w:rsidR="00293586" w:rsidRPr="00730694" w:rsidRDefault="00293586" w:rsidP="00820561">
      <w:pPr>
        <w:spacing w:after="0" w:line="240" w:lineRule="auto"/>
        <w:rPr>
          <w:rFonts w:eastAsia="Times New Roman"/>
          <w:sz w:val="22"/>
          <w:szCs w:val="22"/>
        </w:rPr>
      </w:pPr>
    </w:p>
    <w:p w14:paraId="3A2C3F7F" w14:textId="77777777" w:rsidR="003F31F0" w:rsidRPr="00730694" w:rsidRDefault="003F31F0" w:rsidP="00820561">
      <w:pPr>
        <w:spacing w:after="0" w:line="240" w:lineRule="auto"/>
        <w:rPr>
          <w:rFonts w:eastAsia="Times New Roman"/>
          <w:b/>
          <w:sz w:val="22"/>
          <w:szCs w:val="22"/>
          <w:u w:val="single"/>
        </w:rPr>
      </w:pPr>
      <w:r w:rsidRPr="00730694">
        <w:rPr>
          <w:rFonts w:eastAsia="Times New Roman"/>
          <w:b/>
          <w:sz w:val="22"/>
          <w:szCs w:val="22"/>
          <w:u w:val="single"/>
        </w:rPr>
        <w:t>Factor 1 - Credentials of Key Personnel</w:t>
      </w:r>
    </w:p>
    <w:p w14:paraId="74C35517" w14:textId="73016FEA" w:rsidR="003F31F0" w:rsidRPr="00730694" w:rsidRDefault="003F31F0" w:rsidP="00820561">
      <w:pPr>
        <w:spacing w:after="0" w:line="240" w:lineRule="auto"/>
        <w:rPr>
          <w:rFonts w:eastAsia="Times New Roman"/>
          <w:sz w:val="22"/>
          <w:szCs w:val="22"/>
        </w:rPr>
      </w:pPr>
      <w:r w:rsidRPr="00730694">
        <w:rPr>
          <w:rFonts w:eastAsia="Times New Roman"/>
          <w:sz w:val="22"/>
          <w:szCs w:val="22"/>
        </w:rPr>
        <w:t>A. Principal Investigator: The Recipient shall designate one person as responsible for ensuring that provisions are in place</w:t>
      </w:r>
      <w:r w:rsidR="005B39C5" w:rsidRPr="00730694">
        <w:rPr>
          <w:rFonts w:eastAsia="Times New Roman"/>
          <w:sz w:val="22"/>
          <w:szCs w:val="22"/>
        </w:rPr>
        <w:t>,</w:t>
      </w:r>
      <w:r w:rsidRPr="00730694">
        <w:rPr>
          <w:rFonts w:eastAsia="Times New Roman"/>
          <w:sz w:val="22"/>
          <w:szCs w:val="22"/>
        </w:rPr>
        <w:t xml:space="preserve"> project and personnel supervision</w:t>
      </w:r>
      <w:r w:rsidR="005B39C5" w:rsidRPr="00730694">
        <w:rPr>
          <w:rFonts w:eastAsia="Times New Roman"/>
          <w:sz w:val="22"/>
          <w:szCs w:val="22"/>
        </w:rPr>
        <w:t xml:space="preserve"> is provided</w:t>
      </w:r>
      <w:r w:rsidRPr="00730694">
        <w:rPr>
          <w:rFonts w:eastAsia="Times New Roman"/>
          <w:sz w:val="22"/>
          <w:szCs w:val="22"/>
        </w:rPr>
        <w:t xml:space="preserve">, </w:t>
      </w:r>
      <w:r w:rsidR="00794B3E" w:rsidRPr="00730694">
        <w:rPr>
          <w:rFonts w:eastAsia="Times New Roman"/>
          <w:sz w:val="22"/>
          <w:szCs w:val="22"/>
        </w:rPr>
        <w:t>and quality</w:t>
      </w:r>
      <w:r w:rsidRPr="00730694">
        <w:rPr>
          <w:rFonts w:eastAsia="Times New Roman"/>
          <w:sz w:val="22"/>
          <w:szCs w:val="22"/>
        </w:rPr>
        <w:t xml:space="preserve"> control and meeting of reporting requirements</w:t>
      </w:r>
      <w:r w:rsidR="005B39C5" w:rsidRPr="00730694">
        <w:rPr>
          <w:rFonts w:eastAsia="Times New Roman"/>
          <w:sz w:val="22"/>
          <w:szCs w:val="22"/>
        </w:rPr>
        <w:t xml:space="preserve"> are met </w:t>
      </w:r>
      <w:r w:rsidRPr="00730694">
        <w:rPr>
          <w:rFonts w:eastAsia="Times New Roman"/>
          <w:sz w:val="22"/>
          <w:szCs w:val="22"/>
        </w:rPr>
        <w:t xml:space="preserve">on a daily basis.  This person shall have, at the minimum: </w:t>
      </w:r>
    </w:p>
    <w:p w14:paraId="1F982DC3" w14:textId="77777777" w:rsidR="00D80B63" w:rsidRPr="00730694" w:rsidRDefault="00D80B63" w:rsidP="00D80B63">
      <w:pPr>
        <w:pStyle w:val="NoSpacing"/>
        <w:rPr>
          <w:rFonts w:ascii="Times New Roman" w:hAnsi="Times New Roman" w:cs="Times New Roman"/>
        </w:rPr>
      </w:pPr>
    </w:p>
    <w:p w14:paraId="28E3092B" w14:textId="021024B8" w:rsidR="00AF6B1B" w:rsidRPr="00730694" w:rsidRDefault="00AF6B1B" w:rsidP="00D80B63">
      <w:pPr>
        <w:pStyle w:val="NoSpacing"/>
        <w:numPr>
          <w:ilvl w:val="0"/>
          <w:numId w:val="16"/>
        </w:numPr>
        <w:rPr>
          <w:rFonts w:ascii="Times New Roman" w:hAnsi="Times New Roman" w:cs="Times New Roman"/>
        </w:rPr>
      </w:pPr>
      <w:r w:rsidRPr="00730694">
        <w:rPr>
          <w:rFonts w:ascii="Times New Roman" w:hAnsi="Times New Roman" w:cs="Times New Roman"/>
        </w:rPr>
        <w:t xml:space="preserve">Experience </w:t>
      </w:r>
      <w:r w:rsidR="00073672" w:rsidRPr="00730694">
        <w:rPr>
          <w:rFonts w:ascii="Times New Roman" w:hAnsi="Times New Roman" w:cs="Times New Roman"/>
        </w:rPr>
        <w:t xml:space="preserve">in </w:t>
      </w:r>
      <w:r w:rsidRPr="00730694">
        <w:rPr>
          <w:rFonts w:ascii="Times New Roman" w:hAnsi="Times New Roman" w:cs="Times New Roman"/>
        </w:rPr>
        <w:t xml:space="preserve">tagging </w:t>
      </w:r>
      <w:r w:rsidR="00073672" w:rsidRPr="00730694">
        <w:rPr>
          <w:rFonts w:ascii="Times New Roman" w:hAnsi="Times New Roman" w:cs="Times New Roman"/>
        </w:rPr>
        <w:t>salmonids (Chinook salmon required) in Alaska</w:t>
      </w:r>
      <w:r w:rsidRPr="00730694">
        <w:rPr>
          <w:rFonts w:ascii="Times New Roman" w:hAnsi="Times New Roman" w:cs="Times New Roman"/>
        </w:rPr>
        <w:t xml:space="preserve"> and </w:t>
      </w:r>
      <w:r w:rsidR="00073672" w:rsidRPr="00730694">
        <w:rPr>
          <w:rFonts w:ascii="Times New Roman" w:hAnsi="Times New Roman" w:cs="Times New Roman"/>
        </w:rPr>
        <w:t xml:space="preserve">knowledge of </w:t>
      </w:r>
      <w:r w:rsidRPr="00730694">
        <w:rPr>
          <w:rFonts w:ascii="Times New Roman" w:hAnsi="Times New Roman" w:cs="Times New Roman"/>
        </w:rPr>
        <w:t>population struct</w:t>
      </w:r>
      <w:r w:rsidR="00054F8B" w:rsidRPr="00730694">
        <w:rPr>
          <w:rFonts w:ascii="Times New Roman" w:hAnsi="Times New Roman" w:cs="Times New Roman"/>
        </w:rPr>
        <w:t xml:space="preserve">ure of </w:t>
      </w:r>
      <w:r w:rsidR="00073672" w:rsidRPr="00730694">
        <w:rPr>
          <w:rFonts w:ascii="Times New Roman" w:hAnsi="Times New Roman" w:cs="Times New Roman"/>
        </w:rPr>
        <w:t>Pacific Northwest salmonids including ESA-listed ESUs</w:t>
      </w:r>
      <w:r w:rsidRPr="00730694">
        <w:rPr>
          <w:rFonts w:ascii="Times New Roman" w:hAnsi="Times New Roman" w:cs="Times New Roman"/>
        </w:rPr>
        <w:t>, with at least six (6) years of previous work or research experience in these activities, as demonstrated by authorship on resulting peer-reviewed publications.</w:t>
      </w:r>
    </w:p>
    <w:p w14:paraId="2703BB3F" w14:textId="4B7F6C0D" w:rsidR="00623419" w:rsidRPr="00730694" w:rsidRDefault="00616A08" w:rsidP="004D57CC">
      <w:pPr>
        <w:pStyle w:val="NoSpacing"/>
        <w:numPr>
          <w:ilvl w:val="0"/>
          <w:numId w:val="16"/>
        </w:numPr>
        <w:rPr>
          <w:rFonts w:ascii="Times New Roman" w:eastAsia="Times New Roman" w:hAnsi="Times New Roman" w:cs="Times New Roman"/>
        </w:rPr>
      </w:pPr>
      <w:r w:rsidRPr="00730694">
        <w:rPr>
          <w:rFonts w:ascii="Times New Roman" w:hAnsi="Times New Roman" w:cs="Times New Roman"/>
        </w:rPr>
        <w:t xml:space="preserve">Access to the use of all applicable permits to perform </w:t>
      </w:r>
      <w:r w:rsidR="004D57CC" w:rsidRPr="00730694">
        <w:rPr>
          <w:rFonts w:ascii="Times New Roman" w:hAnsi="Times New Roman" w:cs="Times New Roman"/>
        </w:rPr>
        <w:t>the activities described in the</w:t>
      </w:r>
      <w:r w:rsidRPr="00730694">
        <w:rPr>
          <w:rFonts w:ascii="Times New Roman" w:hAnsi="Times New Roman" w:cs="Times New Roman"/>
        </w:rPr>
        <w:t xml:space="preserve"> SOW (including, but not limited to fish tagging, and biopsy collection</w:t>
      </w:r>
      <w:r w:rsidR="00607A49" w:rsidRPr="00730694">
        <w:rPr>
          <w:rFonts w:ascii="Times New Roman" w:hAnsi="Times New Roman" w:cs="Times New Roman"/>
        </w:rPr>
        <w:t>).</w:t>
      </w:r>
      <w:r w:rsidRPr="00730694">
        <w:rPr>
          <w:rFonts w:ascii="Times New Roman" w:hAnsi="Times New Roman" w:cs="Times New Roman"/>
        </w:rPr>
        <w:t xml:space="preserve"> </w:t>
      </w:r>
    </w:p>
    <w:p w14:paraId="4484774A" w14:textId="451BB434" w:rsidR="00D80B63" w:rsidRPr="00730694" w:rsidRDefault="00A15D7B" w:rsidP="00820561">
      <w:pPr>
        <w:tabs>
          <w:tab w:val="left" w:pos="360"/>
        </w:tabs>
        <w:spacing w:after="0" w:line="240" w:lineRule="auto"/>
        <w:rPr>
          <w:rFonts w:eastAsia="Times New Roman"/>
          <w:sz w:val="22"/>
          <w:szCs w:val="22"/>
        </w:rPr>
      </w:pPr>
      <w:r w:rsidRPr="00730694">
        <w:rPr>
          <w:rFonts w:eastAsia="Times New Roman"/>
          <w:sz w:val="22"/>
          <w:szCs w:val="22"/>
        </w:rPr>
        <w:t xml:space="preserve">B. </w:t>
      </w:r>
      <w:r w:rsidR="00B631B3" w:rsidRPr="00730694">
        <w:rPr>
          <w:rFonts w:eastAsia="Times New Roman"/>
          <w:sz w:val="22"/>
          <w:szCs w:val="22"/>
        </w:rPr>
        <w:t xml:space="preserve">Research Associate: </w:t>
      </w:r>
      <w:r w:rsidR="00496045" w:rsidRPr="00730694">
        <w:rPr>
          <w:rFonts w:eastAsia="Times New Roman"/>
          <w:sz w:val="22"/>
          <w:szCs w:val="22"/>
        </w:rPr>
        <w:t>The R</w:t>
      </w:r>
      <w:r w:rsidR="003F31F0" w:rsidRPr="00730694">
        <w:rPr>
          <w:rFonts w:eastAsia="Times New Roman"/>
          <w:sz w:val="22"/>
          <w:szCs w:val="22"/>
        </w:rPr>
        <w:t>ecipient shall have, or have immediate access to personnel that have, at the minimum:</w:t>
      </w:r>
    </w:p>
    <w:p w14:paraId="52DD0595" w14:textId="77777777" w:rsidR="00B172E3" w:rsidRPr="00730694" w:rsidRDefault="00B172E3" w:rsidP="00820561">
      <w:pPr>
        <w:tabs>
          <w:tab w:val="left" w:pos="360"/>
        </w:tabs>
        <w:spacing w:after="0" w:line="240" w:lineRule="auto"/>
        <w:rPr>
          <w:rFonts w:eastAsia="Times New Roman"/>
          <w:sz w:val="22"/>
          <w:szCs w:val="22"/>
        </w:rPr>
      </w:pPr>
    </w:p>
    <w:p w14:paraId="5F23A6E6" w14:textId="3936E262" w:rsidR="00D80B63" w:rsidRPr="00730694" w:rsidRDefault="00AF6B1B" w:rsidP="00820561">
      <w:pPr>
        <w:pStyle w:val="ListParagraph"/>
        <w:numPr>
          <w:ilvl w:val="0"/>
          <w:numId w:val="15"/>
        </w:numPr>
        <w:tabs>
          <w:tab w:val="left" w:pos="360"/>
        </w:tabs>
        <w:spacing w:after="0" w:line="240" w:lineRule="auto"/>
        <w:rPr>
          <w:sz w:val="22"/>
          <w:szCs w:val="22"/>
        </w:rPr>
      </w:pPr>
      <w:r w:rsidRPr="00730694">
        <w:rPr>
          <w:sz w:val="22"/>
          <w:szCs w:val="22"/>
        </w:rPr>
        <w:t xml:space="preserve">Experience with small-vessel based field operations for satellite tagging and biopsy collection of </w:t>
      </w:r>
      <w:r w:rsidR="004158CF" w:rsidRPr="00730694">
        <w:rPr>
          <w:sz w:val="22"/>
          <w:szCs w:val="22"/>
        </w:rPr>
        <w:t>salmonids</w:t>
      </w:r>
      <w:r w:rsidRPr="00730694">
        <w:rPr>
          <w:sz w:val="22"/>
          <w:szCs w:val="22"/>
        </w:rPr>
        <w:t xml:space="preserve">, </w:t>
      </w:r>
      <w:r w:rsidR="00054F8B" w:rsidRPr="00730694">
        <w:rPr>
          <w:sz w:val="22"/>
          <w:szCs w:val="22"/>
        </w:rPr>
        <w:t>preferably</w:t>
      </w:r>
      <w:r w:rsidRPr="00730694">
        <w:rPr>
          <w:sz w:val="22"/>
          <w:szCs w:val="22"/>
        </w:rPr>
        <w:t xml:space="preserve"> Chinook salmon, as demonstrated by at least four (4) years of field research experience in these activities, to include pre-activity preparations for tagging and biopsy collection, as well as post-activity tasks such as tissue storage, and telemetry-related tasks. Co-authorship on resulting peer-reviewed publication and reports is preferable.</w:t>
      </w:r>
    </w:p>
    <w:p w14:paraId="4EB68197" w14:textId="77777777" w:rsidR="00D80B63" w:rsidRPr="00730694" w:rsidRDefault="00D80B63" w:rsidP="00D80B63">
      <w:pPr>
        <w:pStyle w:val="ListParagraph"/>
        <w:tabs>
          <w:tab w:val="left" w:pos="360"/>
        </w:tabs>
        <w:spacing w:after="0" w:line="240" w:lineRule="auto"/>
        <w:rPr>
          <w:sz w:val="22"/>
          <w:szCs w:val="22"/>
        </w:rPr>
      </w:pPr>
    </w:p>
    <w:p w14:paraId="2A0258C2" w14:textId="77777777" w:rsidR="003F31F0" w:rsidRPr="00730694" w:rsidRDefault="003F31F0" w:rsidP="00820561">
      <w:pPr>
        <w:spacing w:after="0" w:line="240" w:lineRule="auto"/>
        <w:rPr>
          <w:rFonts w:eastAsia="Times New Roman"/>
          <w:b/>
          <w:sz w:val="22"/>
          <w:szCs w:val="22"/>
          <w:u w:val="single"/>
        </w:rPr>
      </w:pPr>
      <w:r w:rsidRPr="00730694">
        <w:rPr>
          <w:rFonts w:eastAsia="Times New Roman"/>
          <w:b/>
          <w:sz w:val="22"/>
          <w:szCs w:val="22"/>
          <w:u w:val="single"/>
        </w:rPr>
        <w:t>Factor 2 – Scientific Approach</w:t>
      </w:r>
    </w:p>
    <w:p w14:paraId="3713CEAA" w14:textId="7A6B6C21" w:rsidR="003F31F0" w:rsidRPr="00730694" w:rsidRDefault="003F31F0" w:rsidP="00820561">
      <w:pPr>
        <w:spacing w:after="0" w:line="240" w:lineRule="auto"/>
        <w:rPr>
          <w:rFonts w:eastAsia="Times New Roman"/>
          <w:sz w:val="22"/>
          <w:szCs w:val="22"/>
        </w:rPr>
      </w:pPr>
      <w:r w:rsidRPr="00730694">
        <w:rPr>
          <w:rFonts w:eastAsia="Times New Roman"/>
          <w:sz w:val="22"/>
          <w:szCs w:val="22"/>
        </w:rPr>
        <w:t>Not to exceed 3 pages, the Offeror shall develop an outline for their approach to addressing the anticipated work stated above.  The Offeror shall be evaluated as to the soundness of the overall approach and use of any innovative techniques to accomplish project objectives.</w:t>
      </w:r>
    </w:p>
    <w:p w14:paraId="0620329D" w14:textId="77777777" w:rsidR="00083FA1" w:rsidRPr="00730694" w:rsidRDefault="00083FA1" w:rsidP="00820561">
      <w:pPr>
        <w:spacing w:after="0" w:line="240" w:lineRule="auto"/>
        <w:rPr>
          <w:rFonts w:eastAsia="Times New Roman"/>
          <w:sz w:val="22"/>
          <w:szCs w:val="22"/>
        </w:rPr>
      </w:pPr>
    </w:p>
    <w:p w14:paraId="33F41312" w14:textId="77777777" w:rsidR="003F31F0" w:rsidRPr="00730694" w:rsidRDefault="003F31F0" w:rsidP="00820561">
      <w:pPr>
        <w:spacing w:after="0" w:line="240" w:lineRule="auto"/>
        <w:rPr>
          <w:rFonts w:eastAsia="Times New Roman"/>
          <w:b/>
          <w:sz w:val="22"/>
          <w:szCs w:val="22"/>
          <w:u w:val="single"/>
        </w:rPr>
      </w:pPr>
      <w:r w:rsidRPr="00730694">
        <w:rPr>
          <w:rFonts w:eastAsia="Times New Roman"/>
          <w:b/>
          <w:sz w:val="22"/>
          <w:szCs w:val="22"/>
          <w:u w:val="single"/>
        </w:rPr>
        <w:t xml:space="preserve">Factor 3 - Reasonableness of Cost </w:t>
      </w:r>
    </w:p>
    <w:p w14:paraId="39EFB511" w14:textId="45A04B50" w:rsidR="00F339D1" w:rsidRPr="00730694" w:rsidRDefault="005B39C5" w:rsidP="00820561">
      <w:pPr>
        <w:spacing w:after="0" w:line="240" w:lineRule="auto"/>
        <w:rPr>
          <w:rFonts w:eastAsia="Times New Roman"/>
          <w:sz w:val="22"/>
          <w:szCs w:val="22"/>
        </w:rPr>
      </w:pPr>
      <w:r w:rsidRPr="00730694">
        <w:rPr>
          <w:rFonts w:eastAsia="Times New Roman"/>
          <w:sz w:val="22"/>
          <w:szCs w:val="22"/>
        </w:rPr>
        <w:t xml:space="preserve">After technical evaluation of the proposal, the offers will be analyzed for fair and reasonable pricing. The proposal will be analyzed to determine whether its pricing is materially/mathematically balanced, and is fair and reasonable.  The Offeror shall use OMB Circular A-21 “Cost Principles for Institutions of Higher Education”, 48 CFR part 31 “Contract Cost Principles and Procedures,” or 2 CFR 200 Subpart F “Audit Requirements” as applicable.  </w:t>
      </w:r>
    </w:p>
    <w:p w14:paraId="0AE0BF07" w14:textId="77777777" w:rsidR="00F339D1" w:rsidRPr="00730694" w:rsidRDefault="00F339D1" w:rsidP="00820561">
      <w:pPr>
        <w:spacing w:after="0" w:line="240" w:lineRule="auto"/>
        <w:rPr>
          <w:rFonts w:eastAsia="Times New Roman"/>
          <w:sz w:val="22"/>
          <w:szCs w:val="22"/>
        </w:rPr>
      </w:pPr>
    </w:p>
    <w:p w14:paraId="28E5F4CA" w14:textId="4D246BB8" w:rsidR="005B39C5" w:rsidRPr="00730694" w:rsidRDefault="005B39C5" w:rsidP="00820561">
      <w:pPr>
        <w:spacing w:after="0" w:line="240" w:lineRule="auto"/>
        <w:rPr>
          <w:rFonts w:eastAsia="Times New Roman"/>
          <w:sz w:val="22"/>
          <w:szCs w:val="22"/>
        </w:rPr>
      </w:pPr>
      <w:r w:rsidRPr="00730694">
        <w:rPr>
          <w:rFonts w:eastAsia="Times New Roman"/>
          <w:sz w:val="22"/>
          <w:szCs w:val="22"/>
        </w:rPr>
        <w:t xml:space="preserve">Evaluations will include an analysis to determine the </w:t>
      </w:r>
      <w:r w:rsidR="00F339D1" w:rsidRPr="00730694">
        <w:rPr>
          <w:rFonts w:eastAsia="Times New Roman"/>
          <w:sz w:val="22"/>
          <w:szCs w:val="22"/>
        </w:rPr>
        <w:t>Offeror’s</w:t>
      </w:r>
      <w:r w:rsidRPr="00730694">
        <w:rPr>
          <w:rFonts w:eastAsia="Times New Roman"/>
          <w:sz w:val="22"/>
          <w:szCs w:val="22"/>
        </w:rPr>
        <w:t xml:space="preserve"> comprehension of the requirements of the solicitation as well as to assess the validity of the </w:t>
      </w:r>
      <w:r w:rsidR="00F339D1" w:rsidRPr="00730694">
        <w:rPr>
          <w:rFonts w:eastAsia="Times New Roman"/>
          <w:sz w:val="22"/>
          <w:szCs w:val="22"/>
        </w:rPr>
        <w:t>Offeror’s</w:t>
      </w:r>
      <w:r w:rsidRPr="00730694">
        <w:rPr>
          <w:rFonts w:eastAsia="Times New Roman"/>
          <w:sz w:val="22"/>
          <w:szCs w:val="22"/>
        </w:rPr>
        <w:t xml:space="preserve"> approach.  A clear cost breakdown of work elements to be accomplished detailing quantities for the various work items, unit, unit prices and extended </w:t>
      </w:r>
      <w:r w:rsidRPr="00730694">
        <w:rPr>
          <w:rFonts w:eastAsia="Times New Roman"/>
          <w:sz w:val="22"/>
          <w:szCs w:val="22"/>
        </w:rPr>
        <w:lastRenderedPageBreak/>
        <w:t xml:space="preserve">prices will be required and will be evaluated.  Evaluation will include an analysis to determine the Offeror’s comprehension of the requirements of the proposed agreement as well as to assess the validity of the Offeror’s approach. Please be sure to provide a proposal for the </w:t>
      </w:r>
      <w:r w:rsidR="009F22C9" w:rsidRPr="00730694">
        <w:rPr>
          <w:rFonts w:eastAsia="Times New Roman"/>
          <w:sz w:val="22"/>
          <w:szCs w:val="22"/>
        </w:rPr>
        <w:t xml:space="preserve">Option </w:t>
      </w:r>
      <w:r w:rsidR="009378D1" w:rsidRPr="00730694">
        <w:rPr>
          <w:rFonts w:eastAsia="Times New Roman"/>
          <w:sz w:val="22"/>
          <w:szCs w:val="22"/>
        </w:rPr>
        <w:t xml:space="preserve">Items </w:t>
      </w:r>
      <w:r w:rsidRPr="00730694">
        <w:rPr>
          <w:rFonts w:eastAsia="Times New Roman"/>
          <w:sz w:val="22"/>
          <w:szCs w:val="22"/>
        </w:rPr>
        <w:t xml:space="preserve">and </w:t>
      </w:r>
      <w:r w:rsidR="009F22C9" w:rsidRPr="00730694">
        <w:rPr>
          <w:rFonts w:eastAsia="Times New Roman"/>
          <w:sz w:val="22"/>
          <w:szCs w:val="22"/>
        </w:rPr>
        <w:t>Option Tasks</w:t>
      </w:r>
      <w:r w:rsidRPr="00730694">
        <w:rPr>
          <w:rFonts w:eastAsia="Times New Roman"/>
          <w:sz w:val="22"/>
          <w:szCs w:val="22"/>
        </w:rPr>
        <w:t xml:space="preserve"> as listed within the</w:t>
      </w:r>
      <w:r w:rsidR="00496045" w:rsidRPr="00730694">
        <w:rPr>
          <w:rFonts w:eastAsia="Times New Roman"/>
          <w:sz w:val="22"/>
          <w:szCs w:val="22"/>
        </w:rPr>
        <w:t xml:space="preserve"> SOW</w:t>
      </w:r>
      <w:r w:rsidRPr="00730694">
        <w:rPr>
          <w:rFonts w:eastAsia="Times New Roman"/>
          <w:sz w:val="22"/>
          <w:szCs w:val="22"/>
        </w:rPr>
        <w:t xml:space="preserve">.  </w:t>
      </w:r>
    </w:p>
    <w:p w14:paraId="677B2A2F" w14:textId="77777777" w:rsidR="003F31F0" w:rsidRPr="00730694" w:rsidRDefault="003F31F0" w:rsidP="00820561">
      <w:pPr>
        <w:spacing w:after="0" w:line="240" w:lineRule="auto"/>
        <w:rPr>
          <w:rFonts w:eastAsia="Times New Roman"/>
          <w:sz w:val="22"/>
          <w:szCs w:val="22"/>
        </w:rPr>
      </w:pPr>
    </w:p>
    <w:p w14:paraId="7B0E4807" w14:textId="6AD0292F" w:rsidR="003F31F0" w:rsidRPr="00730694" w:rsidRDefault="003F31F0" w:rsidP="00820561">
      <w:pPr>
        <w:spacing w:after="0" w:line="240" w:lineRule="auto"/>
        <w:rPr>
          <w:rFonts w:eastAsia="Times New Roman"/>
          <w:sz w:val="22"/>
          <w:szCs w:val="22"/>
        </w:rPr>
      </w:pPr>
      <w:r w:rsidRPr="00730694">
        <w:rPr>
          <w:rFonts w:eastAsia="Times New Roman"/>
          <w:sz w:val="22"/>
          <w:szCs w:val="22"/>
        </w:rPr>
        <w:t xml:space="preserve">Please provide your proposed budget on the provided pdf titled, “Research and Related Budget” form*(Enclosure </w:t>
      </w:r>
      <w:r w:rsidR="008053B0" w:rsidRPr="00730694">
        <w:rPr>
          <w:rFonts w:eastAsia="Times New Roman"/>
          <w:sz w:val="22"/>
          <w:szCs w:val="22"/>
        </w:rPr>
        <w:t>4</w:t>
      </w:r>
      <w:r w:rsidRPr="00730694">
        <w:rPr>
          <w:rFonts w:eastAsia="Times New Roman"/>
          <w:sz w:val="22"/>
          <w:szCs w:val="22"/>
        </w:rPr>
        <w:t xml:space="preserve">).  Please submit one budget form for the base year of work and separate budget form for each of the options specified in the </w:t>
      </w:r>
      <w:r w:rsidR="00F339D1" w:rsidRPr="00730694">
        <w:rPr>
          <w:rFonts w:eastAsia="Times New Roman"/>
          <w:sz w:val="22"/>
          <w:szCs w:val="22"/>
        </w:rPr>
        <w:t>SOW</w:t>
      </w:r>
      <w:r w:rsidRPr="00730694">
        <w:rPr>
          <w:rFonts w:eastAsia="Times New Roman"/>
          <w:sz w:val="22"/>
          <w:szCs w:val="22"/>
        </w:rPr>
        <w:t>.</w:t>
      </w:r>
    </w:p>
    <w:p w14:paraId="6DEE3784" w14:textId="77777777" w:rsidR="003F31F0" w:rsidRPr="00730694" w:rsidRDefault="003F31F0" w:rsidP="00820561">
      <w:pPr>
        <w:spacing w:after="0" w:line="240" w:lineRule="auto"/>
        <w:rPr>
          <w:rFonts w:eastAsia="Times New Roman"/>
          <w:sz w:val="22"/>
          <w:szCs w:val="22"/>
        </w:rPr>
      </w:pPr>
    </w:p>
    <w:p w14:paraId="66D4B045" w14:textId="389E6479" w:rsidR="003F31F0" w:rsidRPr="00730694" w:rsidRDefault="003F31F0" w:rsidP="00820561">
      <w:pPr>
        <w:spacing w:after="0" w:line="240" w:lineRule="auto"/>
        <w:ind w:left="360"/>
        <w:rPr>
          <w:rFonts w:eastAsia="Times New Roman"/>
          <w:b/>
          <w:sz w:val="22"/>
          <w:szCs w:val="22"/>
          <w:u w:val="single"/>
        </w:rPr>
      </w:pPr>
      <w:r w:rsidRPr="00730694">
        <w:rPr>
          <w:rFonts w:eastAsia="Times New Roman"/>
          <w:b/>
          <w:sz w:val="22"/>
          <w:szCs w:val="22"/>
          <w:u w:val="single"/>
        </w:rPr>
        <w:t>*Form: RESEARCH AND RELATED BUDGET</w:t>
      </w:r>
      <w:r w:rsidR="008053B0" w:rsidRPr="00730694">
        <w:rPr>
          <w:rFonts w:eastAsia="Times New Roman"/>
          <w:b/>
          <w:sz w:val="22"/>
          <w:szCs w:val="22"/>
          <w:u w:val="single"/>
        </w:rPr>
        <w:t>:</w:t>
      </w:r>
    </w:p>
    <w:p w14:paraId="087B47DF" w14:textId="77777777" w:rsidR="003F31F0" w:rsidRPr="00730694" w:rsidRDefault="003F31F0" w:rsidP="00820561">
      <w:pPr>
        <w:spacing w:after="0" w:line="240" w:lineRule="auto"/>
        <w:ind w:left="360"/>
        <w:rPr>
          <w:rFonts w:eastAsia="Times New Roman"/>
          <w:sz w:val="22"/>
          <w:szCs w:val="22"/>
        </w:rPr>
      </w:pPr>
    </w:p>
    <w:p w14:paraId="7C80F2B3" w14:textId="4EC8DBBF" w:rsidR="003F31F0" w:rsidRPr="00730694" w:rsidRDefault="003F31F0" w:rsidP="00820561">
      <w:pPr>
        <w:spacing w:after="0" w:line="240" w:lineRule="auto"/>
        <w:ind w:left="360"/>
        <w:rPr>
          <w:rFonts w:eastAsia="Times New Roman"/>
          <w:sz w:val="22"/>
          <w:szCs w:val="22"/>
        </w:rPr>
      </w:pPr>
      <w:r w:rsidRPr="00730694">
        <w:rPr>
          <w:rFonts w:eastAsia="Times New Roman"/>
          <w:sz w:val="22"/>
          <w:szCs w:val="22"/>
        </w:rPr>
        <w:t xml:space="preserve">Complete the Research and Related Budget form in accordance with the instructions on the form.  You must provide a detailed cost breakdown of all costs, by cost category, by the funding periods described below, and by task/sub-task corresponding to the task number in the proposed </w:t>
      </w:r>
      <w:r w:rsidR="00F339D1" w:rsidRPr="00730694">
        <w:rPr>
          <w:rFonts w:eastAsia="Times New Roman"/>
          <w:sz w:val="22"/>
          <w:szCs w:val="22"/>
        </w:rPr>
        <w:t>SOW</w:t>
      </w:r>
      <w:r w:rsidRPr="00730694">
        <w:rPr>
          <w:rFonts w:eastAsia="Times New Roman"/>
          <w:sz w:val="22"/>
          <w:szCs w:val="22"/>
        </w:rPr>
        <w:t>. You may request funds under any of the categories listed as long as the item and amount are necessary to perform the proposed work and meet all the criteria for allowability under the applicable Federal cost principles. The budget should adhere to the following guidelines:</w:t>
      </w:r>
    </w:p>
    <w:p w14:paraId="79EBC22C" w14:textId="77777777" w:rsidR="003F31F0" w:rsidRPr="00730694" w:rsidRDefault="003F31F0" w:rsidP="00820561">
      <w:pPr>
        <w:spacing w:after="0" w:line="240" w:lineRule="auto"/>
        <w:ind w:left="360"/>
        <w:rPr>
          <w:rFonts w:eastAsia="Times New Roman"/>
          <w:sz w:val="22"/>
          <w:szCs w:val="22"/>
        </w:rPr>
      </w:pPr>
    </w:p>
    <w:p w14:paraId="648509A5" w14:textId="77777777" w:rsidR="003F31F0" w:rsidRPr="00730694" w:rsidRDefault="003F31F0" w:rsidP="00820561">
      <w:pPr>
        <w:spacing w:after="0" w:line="240" w:lineRule="auto"/>
        <w:ind w:left="360"/>
        <w:rPr>
          <w:rFonts w:eastAsia="Times New Roman"/>
          <w:sz w:val="22"/>
          <w:szCs w:val="22"/>
        </w:rPr>
      </w:pPr>
      <w:r w:rsidRPr="00730694">
        <w:rPr>
          <w:rFonts w:eastAsia="Times New Roman"/>
          <w:sz w:val="22"/>
          <w:szCs w:val="22"/>
        </w:rPr>
        <w:t>The budget should be driven by program requirements.  Elements of the budget shall include:</w:t>
      </w:r>
    </w:p>
    <w:p w14:paraId="5ECFDBED" w14:textId="77777777" w:rsidR="003F31F0" w:rsidRPr="00730694" w:rsidRDefault="003F31F0" w:rsidP="00820561">
      <w:pPr>
        <w:spacing w:after="0" w:line="240" w:lineRule="auto"/>
        <w:ind w:left="360"/>
        <w:rPr>
          <w:rFonts w:eastAsia="Times New Roman"/>
          <w:sz w:val="22"/>
          <w:szCs w:val="22"/>
        </w:rPr>
      </w:pPr>
    </w:p>
    <w:p w14:paraId="06CA965E" w14:textId="77777777" w:rsidR="003F31F0" w:rsidRPr="00730694" w:rsidRDefault="003F31F0" w:rsidP="00820561">
      <w:pPr>
        <w:pStyle w:val="ListParagraph"/>
        <w:numPr>
          <w:ilvl w:val="0"/>
          <w:numId w:val="9"/>
        </w:numPr>
        <w:spacing w:after="120" w:line="240" w:lineRule="auto"/>
        <w:ind w:left="360" w:firstLine="0"/>
        <w:contextualSpacing w:val="0"/>
        <w:rPr>
          <w:rFonts w:eastAsia="Times New Roman"/>
          <w:sz w:val="22"/>
          <w:szCs w:val="22"/>
        </w:rPr>
      </w:pPr>
      <w:r w:rsidRPr="00730694">
        <w:rPr>
          <w:rFonts w:eastAsia="Times New Roman"/>
          <w:sz w:val="22"/>
          <w:szCs w:val="22"/>
        </w:rPr>
        <w:t>Direct Labor - Individual labor category or person, with associated labor hours and unburdened direct labor rates.</w:t>
      </w:r>
    </w:p>
    <w:p w14:paraId="7F636027" w14:textId="77777777" w:rsidR="003F31F0" w:rsidRPr="00730694" w:rsidRDefault="003F31F0" w:rsidP="00820561">
      <w:pPr>
        <w:pStyle w:val="ListParagraph"/>
        <w:numPr>
          <w:ilvl w:val="0"/>
          <w:numId w:val="9"/>
        </w:numPr>
        <w:spacing w:after="120" w:line="240" w:lineRule="auto"/>
        <w:ind w:left="360" w:firstLine="0"/>
        <w:contextualSpacing w:val="0"/>
        <w:rPr>
          <w:rFonts w:eastAsia="Times New Roman"/>
          <w:sz w:val="22"/>
          <w:szCs w:val="22"/>
        </w:rPr>
      </w:pPr>
      <w:r w:rsidRPr="00730694">
        <w:rPr>
          <w:rFonts w:eastAsia="Times New Roman"/>
          <w:sz w:val="22"/>
          <w:szCs w:val="22"/>
        </w:rPr>
        <w:t>Indirect Costs - Fringe benefits, overhead, G&amp;A, COM, etc. (must show base amount and rate).  Justify in Field K.</w:t>
      </w:r>
    </w:p>
    <w:p w14:paraId="31CC8FBE" w14:textId="77777777" w:rsidR="003F31F0" w:rsidRPr="00730694" w:rsidRDefault="003F31F0" w:rsidP="00820561">
      <w:pPr>
        <w:pStyle w:val="ListParagraph"/>
        <w:numPr>
          <w:ilvl w:val="0"/>
          <w:numId w:val="9"/>
        </w:numPr>
        <w:spacing w:after="120" w:line="240" w:lineRule="auto"/>
        <w:ind w:left="360" w:firstLine="0"/>
        <w:contextualSpacing w:val="0"/>
        <w:rPr>
          <w:rFonts w:eastAsia="Times New Roman"/>
          <w:sz w:val="22"/>
          <w:szCs w:val="22"/>
        </w:rPr>
      </w:pPr>
      <w:r w:rsidRPr="00730694">
        <w:rPr>
          <w:rFonts w:eastAsia="Times New Roman"/>
          <w:sz w:val="22"/>
          <w:szCs w:val="22"/>
        </w:rPr>
        <w:t>Travel - Number of trips, destination, duration, etc.  Justify in Field K (on the form).</w:t>
      </w:r>
    </w:p>
    <w:p w14:paraId="1CDBE767" w14:textId="77777777" w:rsidR="003F31F0" w:rsidRPr="00730694" w:rsidRDefault="003F31F0" w:rsidP="00820561">
      <w:pPr>
        <w:pStyle w:val="ListParagraph"/>
        <w:numPr>
          <w:ilvl w:val="0"/>
          <w:numId w:val="9"/>
        </w:numPr>
        <w:spacing w:after="120" w:line="240" w:lineRule="auto"/>
        <w:ind w:left="360" w:firstLine="0"/>
        <w:contextualSpacing w:val="0"/>
        <w:rPr>
          <w:rFonts w:eastAsia="Times New Roman"/>
          <w:sz w:val="22"/>
          <w:szCs w:val="22"/>
        </w:rPr>
      </w:pPr>
      <w:r w:rsidRPr="00730694">
        <w:rPr>
          <w:rFonts w:eastAsia="Times New Roman"/>
          <w:sz w:val="22"/>
          <w:szCs w:val="22"/>
        </w:rPr>
        <w:t>Subcontract - A cost proposal as detailed as the applicant's cost proposal will be required to be submitted by the subcontractor.  If applicable, include in Research &amp; Related Subaward Budget Attachment Form.</w:t>
      </w:r>
    </w:p>
    <w:p w14:paraId="7A3D19A2" w14:textId="77777777" w:rsidR="003F31F0" w:rsidRPr="00730694" w:rsidRDefault="003F31F0" w:rsidP="00820561">
      <w:pPr>
        <w:pStyle w:val="ListParagraph"/>
        <w:numPr>
          <w:ilvl w:val="0"/>
          <w:numId w:val="9"/>
        </w:numPr>
        <w:spacing w:after="120" w:line="240" w:lineRule="auto"/>
        <w:ind w:left="360" w:firstLine="0"/>
        <w:contextualSpacing w:val="0"/>
        <w:rPr>
          <w:rFonts w:eastAsia="Times New Roman"/>
          <w:sz w:val="22"/>
          <w:szCs w:val="22"/>
        </w:rPr>
      </w:pPr>
      <w:r w:rsidRPr="00730694">
        <w:rPr>
          <w:rFonts w:eastAsia="Times New Roman"/>
          <w:sz w:val="22"/>
          <w:szCs w:val="22"/>
        </w:rPr>
        <w:t>Consultant - Provide consultant agreement or other document that verifies the proposed loaded daily/hourly rate.  Include a description of the nature of and the need for any consultant's participation.  Strong justification must be provided, and consultants are to be used only under exceptional circumstances where no equivalent expertise can be found at a participating university.  Provide budget justification in Field K.</w:t>
      </w:r>
    </w:p>
    <w:p w14:paraId="3FA002AA" w14:textId="77777777" w:rsidR="003F31F0" w:rsidRPr="00730694" w:rsidRDefault="003F31F0" w:rsidP="00820561">
      <w:pPr>
        <w:pStyle w:val="ListParagraph"/>
        <w:numPr>
          <w:ilvl w:val="0"/>
          <w:numId w:val="9"/>
        </w:numPr>
        <w:spacing w:after="120" w:line="240" w:lineRule="auto"/>
        <w:ind w:left="360" w:firstLine="0"/>
        <w:contextualSpacing w:val="0"/>
        <w:rPr>
          <w:rFonts w:eastAsia="Times New Roman"/>
          <w:sz w:val="22"/>
          <w:szCs w:val="22"/>
        </w:rPr>
      </w:pPr>
      <w:r w:rsidRPr="00730694">
        <w:rPr>
          <w:rFonts w:eastAsia="Times New Roman"/>
          <w:sz w:val="22"/>
          <w:szCs w:val="22"/>
        </w:rPr>
        <w:t>Materials - Specifically itemized with costs or estimated costs.  An explanation of any estimating factors, including their derivation and application, shall be provided.  Include a brief description of the applicant's procurement method to be used (competition, engineering estimate, market survey, etc.).  Justify in Field K.</w:t>
      </w:r>
    </w:p>
    <w:p w14:paraId="6C3F103B" w14:textId="5DAE76AA" w:rsidR="003F31F0" w:rsidRPr="00730694" w:rsidRDefault="003F31F0" w:rsidP="00820561">
      <w:pPr>
        <w:pStyle w:val="ListParagraph"/>
        <w:numPr>
          <w:ilvl w:val="0"/>
          <w:numId w:val="9"/>
        </w:numPr>
        <w:spacing w:after="120" w:line="240" w:lineRule="auto"/>
        <w:ind w:left="360" w:firstLine="0"/>
        <w:contextualSpacing w:val="0"/>
        <w:rPr>
          <w:rFonts w:eastAsia="Times New Roman"/>
          <w:sz w:val="22"/>
          <w:szCs w:val="22"/>
        </w:rPr>
      </w:pPr>
      <w:r w:rsidRPr="00730694">
        <w:rPr>
          <w:rFonts w:eastAsia="Times New Roman"/>
          <w:sz w:val="22"/>
          <w:szCs w:val="22"/>
        </w:rPr>
        <w:t>Other Directs Costs - Particularly any proposed items of equipment or facilities. Equipment and facilities generally must be furnished by the cooperator/recipient (justifications must be provided when Government funding for such items is sought).  Include a brief description of the applicant's procurement method to be used (competition, engineering estimate, market survey, etc.).  Justify in Field K.</w:t>
      </w:r>
    </w:p>
    <w:p w14:paraId="2B40D62D" w14:textId="4B28FDA8" w:rsidR="003F31F0" w:rsidRPr="00730694" w:rsidRDefault="003F31F0" w:rsidP="00820561">
      <w:pPr>
        <w:spacing w:after="120" w:line="240" w:lineRule="auto"/>
        <w:ind w:left="360"/>
        <w:rPr>
          <w:rFonts w:eastAsia="Times New Roman"/>
          <w:sz w:val="22"/>
          <w:szCs w:val="22"/>
        </w:rPr>
      </w:pPr>
      <w:r w:rsidRPr="00730694">
        <w:rPr>
          <w:rFonts w:eastAsia="Times New Roman"/>
          <w:sz w:val="22"/>
          <w:szCs w:val="22"/>
        </w:rPr>
        <w:t>Budget Justification (Field K on the form): Provide the required supporting information for the cost elements as shown above (see Research &amp; Related Budget instructions) and listed as follows: indirect cost, travel, consultant, materials, and other direct costs.</w:t>
      </w:r>
      <w:r w:rsidR="00B72147" w:rsidRPr="00730694">
        <w:rPr>
          <w:rFonts w:eastAsia="Times New Roman"/>
          <w:sz w:val="22"/>
          <w:szCs w:val="22"/>
        </w:rPr>
        <w:t xml:space="preserve"> </w:t>
      </w:r>
      <w:r w:rsidRPr="00730694">
        <w:rPr>
          <w:rFonts w:eastAsia="Times New Roman"/>
          <w:sz w:val="22"/>
          <w:szCs w:val="22"/>
        </w:rPr>
        <w:t>Provide any other information you wish to submit to justify your budget request.</w:t>
      </w:r>
    </w:p>
    <w:p w14:paraId="7165373D" w14:textId="77777777" w:rsidR="003F31F0" w:rsidRPr="00730694" w:rsidRDefault="003F31F0" w:rsidP="00820561">
      <w:pPr>
        <w:spacing w:after="0" w:line="240" w:lineRule="auto"/>
        <w:rPr>
          <w:rFonts w:eastAsia="Times New Roman"/>
          <w:sz w:val="22"/>
          <w:szCs w:val="22"/>
        </w:rPr>
      </w:pPr>
    </w:p>
    <w:p w14:paraId="53051685" w14:textId="77777777" w:rsidR="003F31F0" w:rsidRPr="00730694" w:rsidRDefault="003F31F0" w:rsidP="00820561">
      <w:pPr>
        <w:spacing w:after="0" w:line="240" w:lineRule="auto"/>
        <w:rPr>
          <w:rFonts w:eastAsia="Times New Roman"/>
          <w:sz w:val="22"/>
          <w:szCs w:val="22"/>
        </w:rPr>
      </w:pPr>
      <w:r w:rsidRPr="00730694">
        <w:rPr>
          <w:rFonts w:eastAsia="Times New Roman"/>
          <w:sz w:val="22"/>
          <w:szCs w:val="22"/>
        </w:rPr>
        <w:t>NOTE:  Every deviation from the scope of work requirement must be identified.  Proposer must identify the paragraph in the scope of work that is applicable and provide sufficient information to justify why the deviation is in the best interest of the government.</w:t>
      </w:r>
    </w:p>
    <w:p w14:paraId="053DD3CC" w14:textId="77777777" w:rsidR="003F31F0" w:rsidRPr="00730694" w:rsidRDefault="003F31F0" w:rsidP="00820561">
      <w:pPr>
        <w:spacing w:after="0" w:line="240" w:lineRule="auto"/>
        <w:rPr>
          <w:rFonts w:eastAsia="Times New Roman"/>
          <w:sz w:val="22"/>
          <w:szCs w:val="22"/>
        </w:rPr>
      </w:pPr>
      <w:r w:rsidRPr="00730694">
        <w:rPr>
          <w:rFonts w:eastAsia="Times New Roman"/>
          <w:sz w:val="22"/>
          <w:szCs w:val="22"/>
        </w:rPr>
        <w:tab/>
      </w:r>
    </w:p>
    <w:p w14:paraId="212C0EA9" w14:textId="2FF2E6AB" w:rsidR="003F31F0" w:rsidRPr="00730694" w:rsidRDefault="003F31F0" w:rsidP="00820561">
      <w:pPr>
        <w:spacing w:after="0" w:line="240" w:lineRule="auto"/>
        <w:rPr>
          <w:rFonts w:eastAsia="Times New Roman"/>
          <w:sz w:val="22"/>
          <w:szCs w:val="22"/>
        </w:rPr>
      </w:pPr>
      <w:r w:rsidRPr="00730694">
        <w:rPr>
          <w:rFonts w:eastAsia="Times New Roman"/>
          <w:sz w:val="22"/>
          <w:szCs w:val="22"/>
        </w:rPr>
        <w:t>RELATIVE IMPORTANCE OF EVALUATION FACTORS – Factor 1, 2, and 3 are of equal importance.</w:t>
      </w:r>
    </w:p>
    <w:p w14:paraId="2F4B732A" w14:textId="2899A35C" w:rsidR="006A2254" w:rsidRPr="00730694" w:rsidRDefault="006A2254" w:rsidP="00820561">
      <w:pPr>
        <w:tabs>
          <w:tab w:val="left" w:pos="6570"/>
        </w:tabs>
        <w:autoSpaceDE w:val="0"/>
        <w:autoSpaceDN w:val="0"/>
        <w:adjustRightInd w:val="0"/>
        <w:spacing w:after="0" w:line="240" w:lineRule="auto"/>
        <w:outlineLvl w:val="0"/>
        <w:rPr>
          <w:b/>
          <w:bCs/>
          <w:sz w:val="22"/>
          <w:szCs w:val="22"/>
        </w:rPr>
      </w:pPr>
    </w:p>
    <w:p w14:paraId="36024A25" w14:textId="77777777" w:rsidR="00D164CD" w:rsidRPr="00730694" w:rsidRDefault="00657B78" w:rsidP="00820561">
      <w:pPr>
        <w:autoSpaceDE w:val="0"/>
        <w:autoSpaceDN w:val="0"/>
        <w:adjustRightInd w:val="0"/>
        <w:spacing w:after="0" w:line="240" w:lineRule="auto"/>
        <w:outlineLvl w:val="0"/>
        <w:rPr>
          <w:b/>
          <w:bCs/>
          <w:sz w:val="22"/>
          <w:szCs w:val="22"/>
        </w:rPr>
      </w:pPr>
      <w:r w:rsidRPr="00730694">
        <w:rPr>
          <w:b/>
          <w:bCs/>
          <w:sz w:val="22"/>
          <w:szCs w:val="22"/>
        </w:rPr>
        <w:t xml:space="preserve">Timeline for Review of Statements of Interest: </w:t>
      </w:r>
    </w:p>
    <w:p w14:paraId="5B95C70B" w14:textId="5037E6AF" w:rsidR="00D31AEB" w:rsidRPr="00730694" w:rsidRDefault="00D31AEB" w:rsidP="00820561">
      <w:pPr>
        <w:autoSpaceDE w:val="0"/>
        <w:autoSpaceDN w:val="0"/>
        <w:adjustRightInd w:val="0"/>
        <w:spacing w:after="0" w:line="240" w:lineRule="auto"/>
        <w:outlineLvl w:val="0"/>
        <w:rPr>
          <w:rFonts w:eastAsia="Times New Roman"/>
          <w:sz w:val="22"/>
          <w:szCs w:val="22"/>
        </w:rPr>
      </w:pPr>
      <w:r w:rsidRPr="00730694">
        <w:rPr>
          <w:rFonts w:eastAsia="Times New Roman"/>
          <w:sz w:val="22"/>
          <w:szCs w:val="22"/>
        </w:rPr>
        <w:t xml:space="preserve">We request that Statements of Interest be submitted by </w:t>
      </w:r>
      <w:r w:rsidR="009A3211">
        <w:rPr>
          <w:rFonts w:eastAsia="Times New Roman"/>
          <w:sz w:val="22"/>
          <w:szCs w:val="22"/>
        </w:rPr>
        <w:t>21</w:t>
      </w:r>
      <w:r w:rsidR="00E5340C" w:rsidRPr="00730694">
        <w:rPr>
          <w:rFonts w:eastAsia="Times New Roman"/>
          <w:sz w:val="22"/>
          <w:szCs w:val="22"/>
        </w:rPr>
        <w:t xml:space="preserve"> </w:t>
      </w:r>
      <w:r w:rsidR="00730694" w:rsidRPr="00730694">
        <w:rPr>
          <w:rFonts w:eastAsia="Times New Roman"/>
          <w:sz w:val="22"/>
          <w:szCs w:val="22"/>
        </w:rPr>
        <w:t>January</w:t>
      </w:r>
      <w:r w:rsidR="00E5340C" w:rsidRPr="00730694">
        <w:rPr>
          <w:rFonts w:eastAsia="Times New Roman"/>
          <w:sz w:val="22"/>
          <w:szCs w:val="22"/>
        </w:rPr>
        <w:t xml:space="preserve"> 20</w:t>
      </w:r>
      <w:r w:rsidR="00730694" w:rsidRPr="00730694">
        <w:rPr>
          <w:rFonts w:eastAsia="Times New Roman"/>
          <w:sz w:val="22"/>
          <w:szCs w:val="22"/>
        </w:rPr>
        <w:t>20</w:t>
      </w:r>
      <w:r w:rsidR="00F339D1" w:rsidRPr="00730694">
        <w:rPr>
          <w:rFonts w:eastAsia="Times New Roman"/>
          <w:sz w:val="22"/>
          <w:szCs w:val="22"/>
        </w:rPr>
        <w:t xml:space="preserve"> </w:t>
      </w:r>
      <w:r w:rsidRPr="00730694">
        <w:rPr>
          <w:rFonts w:eastAsia="Times New Roman"/>
          <w:sz w:val="22"/>
          <w:szCs w:val="22"/>
        </w:rPr>
        <w:t xml:space="preserve">2:00 PM local standard time. This Request for Statements of Interest will remain open until an investigator team is selected. Statements of Interest received after </w:t>
      </w:r>
      <w:r w:rsidR="009A3211">
        <w:rPr>
          <w:rFonts w:eastAsia="Times New Roman"/>
          <w:sz w:val="22"/>
          <w:szCs w:val="22"/>
        </w:rPr>
        <w:t>21</w:t>
      </w:r>
      <w:r w:rsidR="00E5340C" w:rsidRPr="00730694">
        <w:rPr>
          <w:rFonts w:eastAsia="Times New Roman"/>
          <w:sz w:val="22"/>
          <w:szCs w:val="22"/>
        </w:rPr>
        <w:t xml:space="preserve"> </w:t>
      </w:r>
      <w:r w:rsidR="00730694" w:rsidRPr="00730694">
        <w:rPr>
          <w:rFonts w:eastAsia="Times New Roman"/>
          <w:sz w:val="22"/>
          <w:szCs w:val="22"/>
        </w:rPr>
        <w:t>January</w:t>
      </w:r>
      <w:r w:rsidRPr="00730694">
        <w:rPr>
          <w:rFonts w:eastAsia="Times New Roman"/>
          <w:sz w:val="22"/>
          <w:szCs w:val="22"/>
        </w:rPr>
        <w:t xml:space="preserve"> 2:00 PM local standard time is considered “late” and may not be considered. Please submit requests for information/questions no later than </w:t>
      </w:r>
      <w:r w:rsidR="009A3211">
        <w:rPr>
          <w:rFonts w:eastAsia="Times New Roman"/>
          <w:sz w:val="22"/>
          <w:szCs w:val="22"/>
        </w:rPr>
        <w:t>13</w:t>
      </w:r>
      <w:r w:rsidR="00730694" w:rsidRPr="00730694">
        <w:rPr>
          <w:rFonts w:eastAsia="Times New Roman"/>
          <w:sz w:val="22"/>
          <w:szCs w:val="22"/>
        </w:rPr>
        <w:t xml:space="preserve"> January </w:t>
      </w:r>
      <w:r w:rsidRPr="00730694">
        <w:rPr>
          <w:rFonts w:eastAsia="Times New Roman"/>
          <w:sz w:val="22"/>
          <w:szCs w:val="22"/>
        </w:rPr>
        <w:t xml:space="preserve"> 20</w:t>
      </w:r>
      <w:r w:rsidR="00730694" w:rsidRPr="00730694">
        <w:rPr>
          <w:rFonts w:eastAsia="Times New Roman"/>
          <w:sz w:val="22"/>
          <w:szCs w:val="22"/>
        </w:rPr>
        <w:t>20</w:t>
      </w:r>
      <w:r w:rsidRPr="00730694">
        <w:rPr>
          <w:rFonts w:eastAsia="Times New Roman"/>
          <w:sz w:val="22"/>
          <w:szCs w:val="22"/>
        </w:rPr>
        <w:t xml:space="preserve"> 2:00 Pacific </w:t>
      </w:r>
      <w:r w:rsidR="00F339D1" w:rsidRPr="00730694">
        <w:rPr>
          <w:rFonts w:eastAsia="Times New Roman"/>
          <w:sz w:val="22"/>
          <w:szCs w:val="22"/>
        </w:rPr>
        <w:t>Standard Time</w:t>
      </w:r>
      <w:r w:rsidRPr="00730694">
        <w:rPr>
          <w:rFonts w:eastAsia="Times New Roman"/>
          <w:sz w:val="22"/>
          <w:szCs w:val="22"/>
        </w:rPr>
        <w:t xml:space="preserve">.  </w:t>
      </w:r>
    </w:p>
    <w:p w14:paraId="361307C2" w14:textId="77777777" w:rsidR="00D31AEB" w:rsidRPr="00730694" w:rsidRDefault="00D31AEB" w:rsidP="00820561">
      <w:pPr>
        <w:autoSpaceDE w:val="0"/>
        <w:autoSpaceDN w:val="0"/>
        <w:adjustRightInd w:val="0"/>
        <w:spacing w:after="0" w:line="240" w:lineRule="auto"/>
        <w:outlineLvl w:val="0"/>
        <w:rPr>
          <w:rFonts w:eastAsia="Times New Roman"/>
          <w:sz w:val="22"/>
          <w:szCs w:val="22"/>
        </w:rPr>
      </w:pPr>
    </w:p>
    <w:p w14:paraId="1112052C" w14:textId="6D43DF95" w:rsidR="008B36D9" w:rsidRPr="00730694" w:rsidRDefault="008B36D9" w:rsidP="00820561">
      <w:pPr>
        <w:autoSpaceDE w:val="0"/>
        <w:autoSpaceDN w:val="0"/>
        <w:adjustRightInd w:val="0"/>
        <w:spacing w:after="0" w:line="240" w:lineRule="auto"/>
        <w:outlineLvl w:val="0"/>
        <w:rPr>
          <w:b/>
          <w:bCs/>
          <w:sz w:val="22"/>
          <w:szCs w:val="22"/>
        </w:rPr>
      </w:pPr>
      <w:r w:rsidRPr="00730694">
        <w:rPr>
          <w:b/>
          <w:bCs/>
          <w:sz w:val="22"/>
          <w:szCs w:val="22"/>
        </w:rPr>
        <w:t>Please send electronic responses and questions to:</w:t>
      </w:r>
    </w:p>
    <w:p w14:paraId="56DA7B63" w14:textId="6981A292" w:rsidR="00D31AEB" w:rsidRPr="00730694" w:rsidRDefault="00730694" w:rsidP="00820561">
      <w:pPr>
        <w:widowControl w:val="0"/>
        <w:spacing w:before="100" w:beforeAutospacing="1" w:after="100" w:afterAutospacing="1" w:line="240" w:lineRule="auto"/>
        <w:ind w:right="859"/>
        <w:rPr>
          <w:rFonts w:eastAsia="Times New Roman"/>
          <w:sz w:val="22"/>
          <w:szCs w:val="22"/>
        </w:rPr>
      </w:pPr>
      <w:r w:rsidRPr="00730694">
        <w:rPr>
          <w:rFonts w:eastAsia="Times New Roman"/>
          <w:spacing w:val="-1"/>
          <w:sz w:val="22"/>
          <w:szCs w:val="22"/>
        </w:rPr>
        <w:t>Ms. Kellie Wilson</w:t>
      </w:r>
      <w:r w:rsidR="00D31AEB" w:rsidRPr="00730694">
        <w:rPr>
          <w:rFonts w:eastAsia="Times New Roman"/>
          <w:spacing w:val="-1"/>
          <w:sz w:val="22"/>
          <w:szCs w:val="22"/>
        </w:rPr>
        <w:t>, Contract Specialist</w:t>
      </w:r>
      <w:r w:rsidR="00D31AEB" w:rsidRPr="00730694">
        <w:rPr>
          <w:rFonts w:eastAsia="Times New Roman"/>
          <w:sz w:val="22"/>
          <w:szCs w:val="22"/>
        </w:rPr>
        <w:t xml:space="preserve"> </w:t>
      </w:r>
      <w:r w:rsidR="00D31AEB" w:rsidRPr="00730694">
        <w:rPr>
          <w:rFonts w:eastAsia="Times New Roman"/>
          <w:spacing w:val="-1"/>
          <w:sz w:val="22"/>
          <w:szCs w:val="22"/>
        </w:rPr>
        <w:t>Environmental</w:t>
      </w:r>
      <w:r w:rsidR="00D31AEB" w:rsidRPr="00730694">
        <w:rPr>
          <w:rFonts w:eastAsia="Times New Roman"/>
          <w:sz w:val="22"/>
          <w:szCs w:val="22"/>
        </w:rPr>
        <w:t xml:space="preserve"> Acquisition Core </w:t>
      </w:r>
      <w:hyperlink r:id="rId11" w:history="1">
        <w:r w:rsidRPr="00730694">
          <w:rPr>
            <w:rStyle w:val="Hyperlink"/>
            <w:rFonts w:eastAsia="Times New Roman"/>
            <w:spacing w:val="-1"/>
            <w:sz w:val="22"/>
            <w:szCs w:val="22"/>
          </w:rPr>
          <w:t>kellie.wilson@navy.mil</w:t>
        </w:r>
      </w:hyperlink>
    </w:p>
    <w:p w14:paraId="0BCCA48F" w14:textId="77777777" w:rsidR="00302114" w:rsidRPr="00730694" w:rsidRDefault="00D31AEB" w:rsidP="00820561">
      <w:pPr>
        <w:widowControl w:val="0"/>
        <w:spacing w:after="0" w:line="240" w:lineRule="auto"/>
        <w:jc w:val="both"/>
        <w:outlineLvl w:val="1"/>
        <w:rPr>
          <w:rFonts w:eastAsia="Times New Roman"/>
          <w:sz w:val="22"/>
          <w:szCs w:val="22"/>
          <w:u w:val="single"/>
        </w:rPr>
      </w:pPr>
      <w:r w:rsidRPr="00730694">
        <w:rPr>
          <w:rFonts w:eastAsia="Times New Roman"/>
          <w:bCs/>
          <w:sz w:val="22"/>
          <w:szCs w:val="22"/>
          <w:u w:val="single"/>
        </w:rPr>
        <w:t>Point of Contact Information:</w:t>
      </w:r>
    </w:p>
    <w:p w14:paraId="54936ABD" w14:textId="50016BA4" w:rsidR="00D31AEB" w:rsidRPr="00730694" w:rsidRDefault="00D31AEB" w:rsidP="00820561">
      <w:pPr>
        <w:widowControl w:val="0"/>
        <w:spacing w:after="0" w:line="240" w:lineRule="auto"/>
        <w:jc w:val="both"/>
        <w:outlineLvl w:val="1"/>
        <w:rPr>
          <w:rFonts w:eastAsia="Times New Roman"/>
          <w:sz w:val="22"/>
          <w:szCs w:val="22"/>
          <w:u w:val="single"/>
        </w:rPr>
      </w:pPr>
      <w:r w:rsidRPr="00730694">
        <w:rPr>
          <w:rFonts w:eastAsia="Times New Roman"/>
          <w:spacing w:val="-1"/>
          <w:sz w:val="22"/>
          <w:szCs w:val="22"/>
        </w:rPr>
        <w:t>M</w:t>
      </w:r>
      <w:r w:rsidR="00730694" w:rsidRPr="00730694">
        <w:rPr>
          <w:rFonts w:eastAsia="Times New Roman"/>
          <w:spacing w:val="-1"/>
          <w:sz w:val="22"/>
          <w:szCs w:val="22"/>
        </w:rPr>
        <w:t>s</w:t>
      </w:r>
      <w:r w:rsidRPr="00730694">
        <w:rPr>
          <w:rFonts w:eastAsia="Times New Roman"/>
          <w:spacing w:val="-1"/>
          <w:sz w:val="22"/>
          <w:szCs w:val="22"/>
        </w:rPr>
        <w:t xml:space="preserve">. </w:t>
      </w:r>
      <w:r w:rsidR="00730694" w:rsidRPr="00730694">
        <w:rPr>
          <w:rFonts w:eastAsia="Times New Roman"/>
          <w:spacing w:val="-1"/>
          <w:sz w:val="22"/>
          <w:szCs w:val="22"/>
        </w:rPr>
        <w:t>Kellie Wilson</w:t>
      </w:r>
      <w:r w:rsidRPr="00730694">
        <w:rPr>
          <w:rFonts w:eastAsia="Times New Roman"/>
          <w:spacing w:val="-1"/>
          <w:sz w:val="22"/>
          <w:szCs w:val="22"/>
        </w:rPr>
        <w:t>, Contract Specialist</w:t>
      </w:r>
      <w:r w:rsidRPr="00730694">
        <w:rPr>
          <w:rFonts w:eastAsia="Times New Roman"/>
          <w:sz w:val="22"/>
          <w:szCs w:val="22"/>
        </w:rPr>
        <w:t xml:space="preserve"> </w:t>
      </w:r>
      <w:r w:rsidRPr="00730694">
        <w:rPr>
          <w:rFonts w:eastAsia="Times New Roman"/>
          <w:spacing w:val="-1"/>
          <w:sz w:val="22"/>
          <w:szCs w:val="22"/>
        </w:rPr>
        <w:t>Environmental</w:t>
      </w:r>
      <w:r w:rsidRPr="00730694">
        <w:rPr>
          <w:rFonts w:eastAsia="Times New Roman"/>
          <w:sz w:val="22"/>
          <w:szCs w:val="22"/>
        </w:rPr>
        <w:t xml:space="preserve"> Acquisition Core</w:t>
      </w:r>
      <w:r w:rsidRPr="00730694">
        <w:rPr>
          <w:rFonts w:eastAsia="Times New Roman"/>
          <w:spacing w:val="39"/>
          <w:sz w:val="22"/>
          <w:szCs w:val="22"/>
        </w:rPr>
        <w:t xml:space="preserve"> </w:t>
      </w:r>
    </w:p>
    <w:p w14:paraId="3672B6AB" w14:textId="77777777" w:rsidR="00D31AEB" w:rsidRPr="00730694" w:rsidRDefault="00D31AEB" w:rsidP="00820561">
      <w:pPr>
        <w:widowControl w:val="0"/>
        <w:spacing w:after="0" w:line="240" w:lineRule="auto"/>
        <w:ind w:right="2074"/>
        <w:rPr>
          <w:rFonts w:eastAsia="Times New Roman"/>
          <w:spacing w:val="-1"/>
          <w:sz w:val="22"/>
          <w:szCs w:val="22"/>
        </w:rPr>
      </w:pPr>
      <w:r w:rsidRPr="00730694">
        <w:rPr>
          <w:rFonts w:eastAsia="Times New Roman"/>
          <w:spacing w:val="-1"/>
          <w:sz w:val="22"/>
          <w:szCs w:val="22"/>
        </w:rPr>
        <w:t xml:space="preserve">Naval Facilities Engineering Command Southwest </w:t>
      </w:r>
      <w:bookmarkStart w:id="5" w:name="_GoBack"/>
      <w:bookmarkEnd w:id="5"/>
    </w:p>
    <w:p w14:paraId="69D68813" w14:textId="77777777" w:rsidR="00D31AEB" w:rsidRPr="00730694" w:rsidRDefault="00D31AEB" w:rsidP="00820561">
      <w:pPr>
        <w:widowControl w:val="0"/>
        <w:spacing w:after="0" w:line="240" w:lineRule="auto"/>
        <w:ind w:right="2074"/>
        <w:rPr>
          <w:rFonts w:eastAsia="Times New Roman"/>
          <w:sz w:val="22"/>
          <w:szCs w:val="22"/>
        </w:rPr>
      </w:pPr>
      <w:r w:rsidRPr="00730694">
        <w:rPr>
          <w:rFonts w:eastAsia="Times New Roman"/>
          <w:spacing w:val="-1"/>
          <w:sz w:val="22"/>
          <w:szCs w:val="22"/>
        </w:rPr>
        <w:t>1220 Pacific Highway</w:t>
      </w:r>
      <w:r w:rsidRPr="00730694">
        <w:rPr>
          <w:rFonts w:eastAsia="Times New Roman"/>
          <w:spacing w:val="22"/>
          <w:sz w:val="22"/>
          <w:szCs w:val="22"/>
        </w:rPr>
        <w:t xml:space="preserve"> </w:t>
      </w:r>
      <w:r w:rsidRPr="00730694">
        <w:rPr>
          <w:rFonts w:eastAsia="Times New Roman"/>
          <w:sz w:val="22"/>
          <w:szCs w:val="22"/>
        </w:rPr>
        <w:t xml:space="preserve">San Diego, CA 92132 </w:t>
      </w:r>
    </w:p>
    <w:p w14:paraId="662F2574" w14:textId="77777777" w:rsidR="00D31AEB" w:rsidRPr="00730694" w:rsidRDefault="00D31AEB" w:rsidP="00820561">
      <w:pPr>
        <w:widowControl w:val="0"/>
        <w:spacing w:after="0" w:line="240" w:lineRule="auto"/>
        <w:ind w:right="2074"/>
        <w:rPr>
          <w:rFonts w:eastAsia="Times New Roman"/>
          <w:sz w:val="22"/>
          <w:szCs w:val="22"/>
        </w:rPr>
      </w:pPr>
      <w:r w:rsidRPr="00730694">
        <w:rPr>
          <w:rFonts w:eastAsia="Times New Roman"/>
          <w:sz w:val="22"/>
          <w:szCs w:val="22"/>
        </w:rPr>
        <w:t>619.532.2090</w:t>
      </w:r>
    </w:p>
    <w:p w14:paraId="16E1EE62" w14:textId="77777777" w:rsidR="008B36D9" w:rsidRPr="00730694" w:rsidRDefault="008B36D9" w:rsidP="00820561">
      <w:pPr>
        <w:pStyle w:val="BodyText"/>
        <w:ind w:left="0" w:right="859"/>
        <w:rPr>
          <w:sz w:val="22"/>
          <w:szCs w:val="22"/>
        </w:rPr>
      </w:pPr>
    </w:p>
    <w:p w14:paraId="20A50B3A" w14:textId="77777777" w:rsidR="00657B78" w:rsidRPr="00730694" w:rsidRDefault="00657B78" w:rsidP="00820561">
      <w:pPr>
        <w:spacing w:line="240" w:lineRule="auto"/>
        <w:outlineLvl w:val="0"/>
        <w:rPr>
          <w:b/>
          <w:sz w:val="22"/>
          <w:szCs w:val="22"/>
        </w:rPr>
      </w:pPr>
      <w:r w:rsidRPr="00730694">
        <w:rPr>
          <w:b/>
          <w:sz w:val="22"/>
          <w:szCs w:val="22"/>
        </w:rPr>
        <w:t>References</w:t>
      </w:r>
    </w:p>
    <w:p w14:paraId="2185BD80" w14:textId="6D6B242B" w:rsidR="00AF6B1B" w:rsidRPr="00730694" w:rsidRDefault="00AF6B1B" w:rsidP="00724969">
      <w:pPr>
        <w:pStyle w:val="References"/>
        <w:rPr>
          <w:rFonts w:ascii="Times New Roman" w:hAnsi="Times New Roman"/>
          <w:sz w:val="22"/>
          <w:szCs w:val="22"/>
        </w:rPr>
      </w:pPr>
      <w:r w:rsidRPr="00730694">
        <w:rPr>
          <w:rFonts w:ascii="Times New Roman" w:hAnsi="Times New Roman"/>
          <w:sz w:val="22"/>
          <w:szCs w:val="22"/>
        </w:rPr>
        <w:t>DoN (Department of the Navy). 2016. Gulf of Alaska Navy Training Activities Supplemental Environmental Impact Statement/Overseas Environmental Impact Statement. Naval Facilities Engineering Command, Northwest/EV21.AB, Silverdale, Washington. July 2016</w:t>
      </w:r>
    </w:p>
    <w:p w14:paraId="12D50991" w14:textId="22C11953" w:rsidR="00724969" w:rsidRPr="00730694" w:rsidRDefault="00724969" w:rsidP="00724969">
      <w:pPr>
        <w:pStyle w:val="References"/>
        <w:rPr>
          <w:rFonts w:ascii="Times New Roman" w:hAnsi="Times New Roman"/>
          <w:sz w:val="22"/>
          <w:szCs w:val="22"/>
        </w:rPr>
      </w:pPr>
      <w:r w:rsidRPr="00730694">
        <w:rPr>
          <w:rFonts w:ascii="Times New Roman" w:hAnsi="Times New Roman"/>
          <w:sz w:val="22"/>
          <w:szCs w:val="22"/>
        </w:rPr>
        <w:t>DoN</w:t>
      </w:r>
      <w:r w:rsidR="00496045" w:rsidRPr="00730694">
        <w:rPr>
          <w:rFonts w:ascii="Times New Roman" w:hAnsi="Times New Roman"/>
          <w:sz w:val="22"/>
          <w:szCs w:val="22"/>
        </w:rPr>
        <w:t xml:space="preserve"> (Department of the Navy). 2015</w:t>
      </w:r>
      <w:r w:rsidRPr="00730694">
        <w:rPr>
          <w:rFonts w:ascii="Times New Roman" w:hAnsi="Times New Roman"/>
          <w:sz w:val="22"/>
          <w:szCs w:val="22"/>
        </w:rPr>
        <w:t>. Northwest Training and Testing Activities Final Environmental Impact Statement/Overseas Environmental Impact Statement. Naval Facilities Engineering Command, Northwest/EV21.KK, Silverdale, Washington. October 2015.</w:t>
      </w:r>
    </w:p>
    <w:p w14:paraId="64F54823" w14:textId="01B01112" w:rsidR="00054F8B" w:rsidRPr="00730694" w:rsidRDefault="00054F8B" w:rsidP="00724969">
      <w:pPr>
        <w:pStyle w:val="References"/>
        <w:rPr>
          <w:rStyle w:val="Hyperlink"/>
          <w:rFonts w:ascii="Times New Roman" w:hAnsi="Times New Roman"/>
          <w:sz w:val="22"/>
          <w:szCs w:val="22"/>
        </w:rPr>
      </w:pPr>
      <w:r w:rsidRPr="00730694">
        <w:rPr>
          <w:rFonts w:ascii="Times New Roman" w:hAnsi="Times New Roman"/>
          <w:sz w:val="22"/>
          <w:szCs w:val="22"/>
          <w:lang w:val="en-US"/>
        </w:rPr>
        <w:t>NOAA (National Oceanic and Atmospheric Administration) Fisheries. 2019. Chinook Salmon – Protected.</w:t>
      </w:r>
      <w:r w:rsidRPr="00730694">
        <w:rPr>
          <w:rFonts w:ascii="Times New Roman" w:hAnsi="Times New Roman"/>
          <w:sz w:val="22"/>
          <w:szCs w:val="22"/>
        </w:rPr>
        <w:t xml:space="preserve"> </w:t>
      </w:r>
      <w:hyperlink r:id="rId12" w:history="1">
        <w:r w:rsidRPr="00730694">
          <w:rPr>
            <w:rStyle w:val="Hyperlink"/>
            <w:rFonts w:ascii="Times New Roman" w:hAnsi="Times New Roman"/>
            <w:sz w:val="22"/>
            <w:szCs w:val="22"/>
          </w:rPr>
          <w:t>https://www.fisheries.noaa.gov/species/chinook-salmon-protected</w:t>
        </w:r>
      </w:hyperlink>
    </w:p>
    <w:p w14:paraId="67669500" w14:textId="77777777" w:rsidR="00687B7D" w:rsidRPr="00730694" w:rsidRDefault="00687B7D" w:rsidP="00687B7D">
      <w:pPr>
        <w:pStyle w:val="References"/>
        <w:rPr>
          <w:rFonts w:ascii="Times New Roman" w:hAnsi="Times New Roman"/>
          <w:sz w:val="22"/>
          <w:szCs w:val="22"/>
          <w:lang w:val="en-US"/>
        </w:rPr>
      </w:pPr>
      <w:r w:rsidRPr="00730694">
        <w:rPr>
          <w:rFonts w:ascii="Times New Roman" w:hAnsi="Times New Roman"/>
          <w:sz w:val="22"/>
          <w:szCs w:val="22"/>
          <w:lang w:val="en-US"/>
        </w:rPr>
        <w:t xml:space="preserve">Smith, J. M. and D. D. Huff. 2019. Characterizing the distribution of ESA listed salmonids in the Northwest Training and Testing Area with Acoustic and Pop-up Satellite tags. 2019. Prepared by NOAA Northwest Fisheries Science Center under MIPR N00070-08-MP-4C592 to Commander, U.S. Pacific Fleet. 9 pp. January. </w:t>
      </w:r>
    </w:p>
    <w:p w14:paraId="5A8B9D94" w14:textId="77777777" w:rsidR="00687B7D" w:rsidRPr="005800CD" w:rsidRDefault="00687B7D" w:rsidP="00724969">
      <w:pPr>
        <w:pStyle w:val="References"/>
        <w:rPr>
          <w:rFonts w:ascii="Calibri Light" w:hAnsi="Calibri Light" w:cs="Calibri Light"/>
          <w:sz w:val="22"/>
          <w:szCs w:val="22"/>
          <w:lang w:val="en-US"/>
        </w:rPr>
      </w:pPr>
    </w:p>
    <w:p w14:paraId="7BA3859E" w14:textId="56B28938" w:rsidR="00724969" w:rsidRPr="005800CD" w:rsidRDefault="00724969" w:rsidP="00724969">
      <w:pPr>
        <w:pStyle w:val="References"/>
        <w:rPr>
          <w:rFonts w:ascii="Calibri Light" w:hAnsi="Calibri Light" w:cs="Calibri Light"/>
          <w:sz w:val="22"/>
          <w:szCs w:val="22"/>
        </w:rPr>
      </w:pPr>
      <w:r w:rsidRPr="005800CD">
        <w:rPr>
          <w:rFonts w:ascii="Calibri Light" w:hAnsi="Calibri Light" w:cs="Calibri Light"/>
          <w:sz w:val="22"/>
          <w:szCs w:val="22"/>
        </w:rPr>
        <w:t xml:space="preserve">. </w:t>
      </w:r>
    </w:p>
    <w:p w14:paraId="72D7BBD2" w14:textId="77E121A7" w:rsidR="0094052A" w:rsidRPr="005800CD" w:rsidRDefault="0094052A" w:rsidP="00724969">
      <w:pPr>
        <w:widowControl w:val="0"/>
        <w:autoSpaceDE w:val="0"/>
        <w:autoSpaceDN w:val="0"/>
        <w:adjustRightInd w:val="0"/>
        <w:spacing w:after="0" w:line="240" w:lineRule="auto"/>
        <w:ind w:left="720" w:hanging="630"/>
        <w:rPr>
          <w:rFonts w:ascii="Calibri Light" w:hAnsi="Calibri Light" w:cs="Calibri Light"/>
          <w:sz w:val="22"/>
          <w:szCs w:val="22"/>
        </w:rPr>
      </w:pPr>
    </w:p>
    <w:sectPr w:rsidR="0094052A" w:rsidRPr="005800CD" w:rsidSect="006E200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E027" w14:textId="77777777" w:rsidR="00EC385C" w:rsidRDefault="00EC385C" w:rsidP="00840C36">
      <w:pPr>
        <w:spacing w:after="0" w:line="240" w:lineRule="auto"/>
      </w:pPr>
      <w:r>
        <w:separator/>
      </w:r>
    </w:p>
  </w:endnote>
  <w:endnote w:type="continuationSeparator" w:id="0">
    <w:p w14:paraId="1C84727D" w14:textId="77777777" w:rsidR="00EC385C" w:rsidRDefault="00EC385C" w:rsidP="0084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46E56" w14:textId="77777777" w:rsidR="00F305F9" w:rsidRDefault="00F305F9" w:rsidP="00705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BE2BD6" w14:textId="77777777" w:rsidR="00F305F9" w:rsidRDefault="00F305F9" w:rsidP="00840C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3C12" w14:textId="770F17B5" w:rsidR="00F305F9" w:rsidRDefault="00F305F9" w:rsidP="00705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3211">
      <w:rPr>
        <w:rStyle w:val="PageNumber"/>
        <w:noProof/>
      </w:rPr>
      <w:t>6</w:t>
    </w:r>
    <w:r>
      <w:rPr>
        <w:rStyle w:val="PageNumber"/>
      </w:rPr>
      <w:fldChar w:fldCharType="end"/>
    </w:r>
  </w:p>
  <w:p w14:paraId="20CE6C16" w14:textId="77777777" w:rsidR="00F305F9" w:rsidRDefault="00F305F9" w:rsidP="00840C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8BCAB" w14:textId="77777777" w:rsidR="00EC385C" w:rsidRDefault="00EC385C" w:rsidP="00840C36">
      <w:pPr>
        <w:spacing w:after="0" w:line="240" w:lineRule="auto"/>
      </w:pPr>
      <w:r>
        <w:separator/>
      </w:r>
    </w:p>
  </w:footnote>
  <w:footnote w:type="continuationSeparator" w:id="0">
    <w:p w14:paraId="4C215D1F" w14:textId="77777777" w:rsidR="00EC385C" w:rsidRDefault="00EC385C" w:rsidP="00840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AA5"/>
    <w:multiLevelType w:val="hybridMultilevel"/>
    <w:tmpl w:val="A398AC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16213"/>
    <w:multiLevelType w:val="multilevel"/>
    <w:tmpl w:val="ED1AB7AA"/>
    <w:lvl w:ilvl="0">
      <w:start w:val="1"/>
      <w:numFmt w:val="decimal"/>
      <w:lvlText w:val="%1."/>
      <w:lvlJc w:val="left"/>
      <w:pPr>
        <w:tabs>
          <w:tab w:val="num" w:pos="720"/>
        </w:tabs>
        <w:ind w:left="360" w:firstLine="0"/>
      </w:pPr>
      <w:rPr>
        <w:rFonts w:hint="default"/>
        <w:color w:val="auto"/>
      </w:rPr>
    </w:lvl>
    <w:lvl w:ilvl="1">
      <w:start w:val="1"/>
      <w:numFmt w:val="decimal"/>
      <w:lvlText w:val="(%2)"/>
      <w:lvlJc w:val="left"/>
      <w:pPr>
        <w:tabs>
          <w:tab w:val="num" w:pos="1170"/>
        </w:tabs>
        <w:ind w:left="810" w:firstLine="0"/>
      </w:pPr>
      <w:rPr>
        <w:rFonts w:ascii="Times New Roman" w:hAnsi="Times New Roman" w:hint="default"/>
        <w:sz w:val="20"/>
        <w:szCs w:val="20"/>
      </w:rPr>
    </w:lvl>
    <w:lvl w:ilvl="2">
      <w:start w:val="1"/>
      <w:numFmt w:val="decimal"/>
      <w:lvlText w:val="%3."/>
      <w:lvlJc w:val="left"/>
      <w:pPr>
        <w:tabs>
          <w:tab w:val="num" w:pos="2340"/>
        </w:tabs>
        <w:ind w:left="2340" w:hanging="36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2825B8A"/>
    <w:multiLevelType w:val="hybridMultilevel"/>
    <w:tmpl w:val="64A809D2"/>
    <w:lvl w:ilvl="0" w:tplc="2B34B4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5314D"/>
    <w:multiLevelType w:val="hybridMultilevel"/>
    <w:tmpl w:val="0D2E0570"/>
    <w:lvl w:ilvl="0" w:tplc="DDEEA7F2">
      <w:start w:val="1"/>
      <w:numFmt w:val="decimal"/>
      <w:lvlText w:val="%1)"/>
      <w:lvlJc w:val="left"/>
      <w:pPr>
        <w:ind w:left="63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65C2EC1"/>
    <w:multiLevelType w:val="hybridMultilevel"/>
    <w:tmpl w:val="BBE00D22"/>
    <w:lvl w:ilvl="0" w:tplc="04090001">
      <w:start w:val="80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657E6"/>
    <w:multiLevelType w:val="hybridMultilevel"/>
    <w:tmpl w:val="5B7E691C"/>
    <w:lvl w:ilvl="0" w:tplc="67D48E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B5A9B"/>
    <w:multiLevelType w:val="hybridMultilevel"/>
    <w:tmpl w:val="5AB8A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76106"/>
    <w:multiLevelType w:val="multilevel"/>
    <w:tmpl w:val="ED1AB7AA"/>
    <w:lvl w:ilvl="0">
      <w:start w:val="1"/>
      <w:numFmt w:val="decimal"/>
      <w:lvlText w:val="%1."/>
      <w:lvlJc w:val="left"/>
      <w:pPr>
        <w:tabs>
          <w:tab w:val="num" w:pos="720"/>
        </w:tabs>
        <w:ind w:left="360" w:firstLine="0"/>
      </w:pPr>
      <w:rPr>
        <w:rFonts w:hint="default"/>
        <w:color w:val="auto"/>
      </w:rPr>
    </w:lvl>
    <w:lvl w:ilvl="1">
      <w:start w:val="1"/>
      <w:numFmt w:val="decimal"/>
      <w:lvlText w:val="(%2)"/>
      <w:lvlJc w:val="left"/>
      <w:pPr>
        <w:tabs>
          <w:tab w:val="num" w:pos="1170"/>
        </w:tabs>
        <w:ind w:left="810" w:firstLine="0"/>
      </w:pPr>
      <w:rPr>
        <w:rFonts w:ascii="Times New Roman" w:hAnsi="Times New Roman" w:hint="default"/>
        <w:sz w:val="20"/>
        <w:szCs w:val="20"/>
      </w:rPr>
    </w:lvl>
    <w:lvl w:ilvl="2">
      <w:start w:val="1"/>
      <w:numFmt w:val="decimal"/>
      <w:lvlText w:val="%3."/>
      <w:lvlJc w:val="left"/>
      <w:pPr>
        <w:tabs>
          <w:tab w:val="num" w:pos="2340"/>
        </w:tabs>
        <w:ind w:left="2340" w:hanging="36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4D1160D"/>
    <w:multiLevelType w:val="hybridMultilevel"/>
    <w:tmpl w:val="A2F2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739E0"/>
    <w:multiLevelType w:val="hybridMultilevel"/>
    <w:tmpl w:val="64A809D2"/>
    <w:lvl w:ilvl="0" w:tplc="2B34B4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3F3CA5"/>
    <w:multiLevelType w:val="hybridMultilevel"/>
    <w:tmpl w:val="ADD201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1B5CBF"/>
    <w:multiLevelType w:val="hybridMultilevel"/>
    <w:tmpl w:val="D1BA50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8FB01F1"/>
    <w:multiLevelType w:val="hybridMultilevel"/>
    <w:tmpl w:val="175A2D6A"/>
    <w:lvl w:ilvl="0" w:tplc="75AEF5F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B4380"/>
    <w:multiLevelType w:val="hybridMultilevel"/>
    <w:tmpl w:val="6B8440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9A5F76"/>
    <w:multiLevelType w:val="hybridMultilevel"/>
    <w:tmpl w:val="0BAE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57077"/>
    <w:multiLevelType w:val="hybridMultilevel"/>
    <w:tmpl w:val="F1B43C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89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1"/>
  </w:num>
  <w:num w:numId="5">
    <w:abstractNumId w:val="6"/>
  </w:num>
  <w:num w:numId="6">
    <w:abstractNumId w:val="0"/>
  </w:num>
  <w:num w:numId="7">
    <w:abstractNumId w:val="1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5"/>
  </w:num>
  <w:num w:numId="12">
    <w:abstractNumId w:val="2"/>
  </w:num>
  <w:num w:numId="13">
    <w:abstractNumId w:val="15"/>
  </w:num>
  <w:num w:numId="14">
    <w:abstractNumId w:val="13"/>
  </w:num>
  <w:num w:numId="15">
    <w:abstractNumId w:val="14"/>
  </w:num>
  <w:num w:numId="16">
    <w:abstractNumId w:va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31"/>
    <w:rsid w:val="0000359F"/>
    <w:rsid w:val="0000373A"/>
    <w:rsid w:val="00003B8C"/>
    <w:rsid w:val="00007900"/>
    <w:rsid w:val="00012DBA"/>
    <w:rsid w:val="00013EEA"/>
    <w:rsid w:val="000372F7"/>
    <w:rsid w:val="00041649"/>
    <w:rsid w:val="0004272A"/>
    <w:rsid w:val="00051E26"/>
    <w:rsid w:val="00052C77"/>
    <w:rsid w:val="00054A60"/>
    <w:rsid w:val="00054F8B"/>
    <w:rsid w:val="00055F89"/>
    <w:rsid w:val="00060348"/>
    <w:rsid w:val="0007008B"/>
    <w:rsid w:val="0007181D"/>
    <w:rsid w:val="00071BA4"/>
    <w:rsid w:val="000731EC"/>
    <w:rsid w:val="00073672"/>
    <w:rsid w:val="00077C68"/>
    <w:rsid w:val="00083FA1"/>
    <w:rsid w:val="0009152E"/>
    <w:rsid w:val="000922E4"/>
    <w:rsid w:val="00093AEF"/>
    <w:rsid w:val="00093DA5"/>
    <w:rsid w:val="000A26F9"/>
    <w:rsid w:val="000A3591"/>
    <w:rsid w:val="000B1032"/>
    <w:rsid w:val="000B7C30"/>
    <w:rsid w:val="000C5E41"/>
    <w:rsid w:val="000D5868"/>
    <w:rsid w:val="000D7819"/>
    <w:rsid w:val="000E3ABD"/>
    <w:rsid w:val="000F4E27"/>
    <w:rsid w:val="00100EDC"/>
    <w:rsid w:val="00102B53"/>
    <w:rsid w:val="00110A4A"/>
    <w:rsid w:val="0012158E"/>
    <w:rsid w:val="0012161C"/>
    <w:rsid w:val="00122C9C"/>
    <w:rsid w:val="001250EC"/>
    <w:rsid w:val="00147878"/>
    <w:rsid w:val="00153D7F"/>
    <w:rsid w:val="00156DE4"/>
    <w:rsid w:val="001628EA"/>
    <w:rsid w:val="0018032B"/>
    <w:rsid w:val="00185C7A"/>
    <w:rsid w:val="00190EA7"/>
    <w:rsid w:val="001A1A9A"/>
    <w:rsid w:val="001B1D2A"/>
    <w:rsid w:val="001B724D"/>
    <w:rsid w:val="001C0C7A"/>
    <w:rsid w:val="001C23BB"/>
    <w:rsid w:val="001D4DC5"/>
    <w:rsid w:val="001E34D9"/>
    <w:rsid w:val="001E35FC"/>
    <w:rsid w:val="001E7A25"/>
    <w:rsid w:val="001F5F38"/>
    <w:rsid w:val="001F682A"/>
    <w:rsid w:val="002021B9"/>
    <w:rsid w:val="00217263"/>
    <w:rsid w:val="0022493C"/>
    <w:rsid w:val="00236463"/>
    <w:rsid w:val="00236916"/>
    <w:rsid w:val="002402AB"/>
    <w:rsid w:val="002432B2"/>
    <w:rsid w:val="002514BE"/>
    <w:rsid w:val="00253C2F"/>
    <w:rsid w:val="00255BAA"/>
    <w:rsid w:val="00256500"/>
    <w:rsid w:val="0025651C"/>
    <w:rsid w:val="00264775"/>
    <w:rsid w:val="002718ED"/>
    <w:rsid w:val="0027327B"/>
    <w:rsid w:val="00290FCA"/>
    <w:rsid w:val="00293586"/>
    <w:rsid w:val="002A3131"/>
    <w:rsid w:val="002A3D6C"/>
    <w:rsid w:val="002A6549"/>
    <w:rsid w:val="002A71D4"/>
    <w:rsid w:val="002B4D11"/>
    <w:rsid w:val="002C10EB"/>
    <w:rsid w:val="002D579E"/>
    <w:rsid w:val="002D63BA"/>
    <w:rsid w:val="002E27CF"/>
    <w:rsid w:val="002E3807"/>
    <w:rsid w:val="002E3B25"/>
    <w:rsid w:val="002E5ED2"/>
    <w:rsid w:val="002F0F0D"/>
    <w:rsid w:val="002F2950"/>
    <w:rsid w:val="002F3B5F"/>
    <w:rsid w:val="00302114"/>
    <w:rsid w:val="0031276B"/>
    <w:rsid w:val="003212F3"/>
    <w:rsid w:val="00323664"/>
    <w:rsid w:val="00325295"/>
    <w:rsid w:val="00325D30"/>
    <w:rsid w:val="003267DF"/>
    <w:rsid w:val="00343C21"/>
    <w:rsid w:val="00346A3C"/>
    <w:rsid w:val="00347931"/>
    <w:rsid w:val="00354B0C"/>
    <w:rsid w:val="00354D41"/>
    <w:rsid w:val="00354EC5"/>
    <w:rsid w:val="0035705E"/>
    <w:rsid w:val="0036359E"/>
    <w:rsid w:val="00365D65"/>
    <w:rsid w:val="00367CFD"/>
    <w:rsid w:val="00373ECA"/>
    <w:rsid w:val="00376A6D"/>
    <w:rsid w:val="00377B8E"/>
    <w:rsid w:val="00382D9B"/>
    <w:rsid w:val="00384163"/>
    <w:rsid w:val="00385858"/>
    <w:rsid w:val="00386521"/>
    <w:rsid w:val="00387B98"/>
    <w:rsid w:val="00392706"/>
    <w:rsid w:val="00394E41"/>
    <w:rsid w:val="00394FDE"/>
    <w:rsid w:val="003A0582"/>
    <w:rsid w:val="003A305A"/>
    <w:rsid w:val="003A3920"/>
    <w:rsid w:val="003B1E17"/>
    <w:rsid w:val="003B3E5A"/>
    <w:rsid w:val="003B6364"/>
    <w:rsid w:val="003C0D9D"/>
    <w:rsid w:val="003C13F3"/>
    <w:rsid w:val="003C2D4A"/>
    <w:rsid w:val="003C617A"/>
    <w:rsid w:val="003D5000"/>
    <w:rsid w:val="003F31F0"/>
    <w:rsid w:val="003F42A7"/>
    <w:rsid w:val="00405EA9"/>
    <w:rsid w:val="00407E4B"/>
    <w:rsid w:val="00411E02"/>
    <w:rsid w:val="00413D9A"/>
    <w:rsid w:val="004154B9"/>
    <w:rsid w:val="004158CF"/>
    <w:rsid w:val="00416B9E"/>
    <w:rsid w:val="00427BC8"/>
    <w:rsid w:val="004309C8"/>
    <w:rsid w:val="004327F8"/>
    <w:rsid w:val="00440016"/>
    <w:rsid w:val="00446216"/>
    <w:rsid w:val="00451AFE"/>
    <w:rsid w:val="0046365A"/>
    <w:rsid w:val="00466C9B"/>
    <w:rsid w:val="00475B4B"/>
    <w:rsid w:val="00480279"/>
    <w:rsid w:val="00484034"/>
    <w:rsid w:val="0048627A"/>
    <w:rsid w:val="00493504"/>
    <w:rsid w:val="00494395"/>
    <w:rsid w:val="00496045"/>
    <w:rsid w:val="004A0074"/>
    <w:rsid w:val="004A47ED"/>
    <w:rsid w:val="004A4859"/>
    <w:rsid w:val="004A7006"/>
    <w:rsid w:val="004B5E86"/>
    <w:rsid w:val="004C426A"/>
    <w:rsid w:val="004D1396"/>
    <w:rsid w:val="004D57CC"/>
    <w:rsid w:val="004D6255"/>
    <w:rsid w:val="004D7C6D"/>
    <w:rsid w:val="004E20CA"/>
    <w:rsid w:val="00500348"/>
    <w:rsid w:val="00525CAD"/>
    <w:rsid w:val="0053185B"/>
    <w:rsid w:val="00534F96"/>
    <w:rsid w:val="00543503"/>
    <w:rsid w:val="0054512D"/>
    <w:rsid w:val="00557889"/>
    <w:rsid w:val="00572598"/>
    <w:rsid w:val="005800CD"/>
    <w:rsid w:val="00581342"/>
    <w:rsid w:val="00583F07"/>
    <w:rsid w:val="0058513F"/>
    <w:rsid w:val="00592893"/>
    <w:rsid w:val="005B39C5"/>
    <w:rsid w:val="005B49DE"/>
    <w:rsid w:val="005C32BA"/>
    <w:rsid w:val="005D2C3F"/>
    <w:rsid w:val="005D5F8B"/>
    <w:rsid w:val="005E0576"/>
    <w:rsid w:val="005E0E83"/>
    <w:rsid w:val="005E16F0"/>
    <w:rsid w:val="005E2781"/>
    <w:rsid w:val="005E5281"/>
    <w:rsid w:val="005E565B"/>
    <w:rsid w:val="00604C93"/>
    <w:rsid w:val="00607A49"/>
    <w:rsid w:val="006115D2"/>
    <w:rsid w:val="00616A08"/>
    <w:rsid w:val="00620082"/>
    <w:rsid w:val="00623419"/>
    <w:rsid w:val="0062762E"/>
    <w:rsid w:val="00636B69"/>
    <w:rsid w:val="0064042E"/>
    <w:rsid w:val="00656389"/>
    <w:rsid w:val="00657B78"/>
    <w:rsid w:val="00675254"/>
    <w:rsid w:val="00677640"/>
    <w:rsid w:val="006816CC"/>
    <w:rsid w:val="00685F00"/>
    <w:rsid w:val="00686155"/>
    <w:rsid w:val="0068787C"/>
    <w:rsid w:val="00687B7D"/>
    <w:rsid w:val="006A2254"/>
    <w:rsid w:val="006A61AC"/>
    <w:rsid w:val="006A6B76"/>
    <w:rsid w:val="006B3546"/>
    <w:rsid w:val="006B3B87"/>
    <w:rsid w:val="006B6BD1"/>
    <w:rsid w:val="006C1DF3"/>
    <w:rsid w:val="006C3FD9"/>
    <w:rsid w:val="006C5275"/>
    <w:rsid w:val="006C6B98"/>
    <w:rsid w:val="006C78A4"/>
    <w:rsid w:val="006D012C"/>
    <w:rsid w:val="006E2002"/>
    <w:rsid w:val="006E5FCD"/>
    <w:rsid w:val="006F1C90"/>
    <w:rsid w:val="006F205D"/>
    <w:rsid w:val="006F45E8"/>
    <w:rsid w:val="006F6CFA"/>
    <w:rsid w:val="00702856"/>
    <w:rsid w:val="00702B0B"/>
    <w:rsid w:val="007050F0"/>
    <w:rsid w:val="007079A1"/>
    <w:rsid w:val="00712EF4"/>
    <w:rsid w:val="0071328A"/>
    <w:rsid w:val="00724969"/>
    <w:rsid w:val="00727596"/>
    <w:rsid w:val="00730694"/>
    <w:rsid w:val="00730A1E"/>
    <w:rsid w:val="00732553"/>
    <w:rsid w:val="00753AC1"/>
    <w:rsid w:val="00770E94"/>
    <w:rsid w:val="00772FEE"/>
    <w:rsid w:val="00774F52"/>
    <w:rsid w:val="007911D1"/>
    <w:rsid w:val="0079190B"/>
    <w:rsid w:val="00794B3E"/>
    <w:rsid w:val="0079572E"/>
    <w:rsid w:val="007A053A"/>
    <w:rsid w:val="007A1932"/>
    <w:rsid w:val="007C59E1"/>
    <w:rsid w:val="007C662E"/>
    <w:rsid w:val="007C7D2E"/>
    <w:rsid w:val="007D029E"/>
    <w:rsid w:val="007D1269"/>
    <w:rsid w:val="007D650A"/>
    <w:rsid w:val="007E5754"/>
    <w:rsid w:val="007F089B"/>
    <w:rsid w:val="007F236E"/>
    <w:rsid w:val="007F2FFE"/>
    <w:rsid w:val="007F566A"/>
    <w:rsid w:val="007F72BC"/>
    <w:rsid w:val="00800E98"/>
    <w:rsid w:val="00801669"/>
    <w:rsid w:val="008053B0"/>
    <w:rsid w:val="00820561"/>
    <w:rsid w:val="00821400"/>
    <w:rsid w:val="008252E9"/>
    <w:rsid w:val="00840C36"/>
    <w:rsid w:val="00845B42"/>
    <w:rsid w:val="008652C1"/>
    <w:rsid w:val="008703AD"/>
    <w:rsid w:val="00870C85"/>
    <w:rsid w:val="00874DA0"/>
    <w:rsid w:val="008802C4"/>
    <w:rsid w:val="00880F05"/>
    <w:rsid w:val="008949C5"/>
    <w:rsid w:val="008A4D01"/>
    <w:rsid w:val="008B36D9"/>
    <w:rsid w:val="008B394A"/>
    <w:rsid w:val="008D0ED1"/>
    <w:rsid w:val="008D409F"/>
    <w:rsid w:val="008E43FF"/>
    <w:rsid w:val="008E7199"/>
    <w:rsid w:val="008E738F"/>
    <w:rsid w:val="008F072C"/>
    <w:rsid w:val="008F2114"/>
    <w:rsid w:val="008F73B2"/>
    <w:rsid w:val="00902091"/>
    <w:rsid w:val="009030C1"/>
    <w:rsid w:val="00903B53"/>
    <w:rsid w:val="00903CA2"/>
    <w:rsid w:val="00905B38"/>
    <w:rsid w:val="00907474"/>
    <w:rsid w:val="009117F6"/>
    <w:rsid w:val="00920C75"/>
    <w:rsid w:val="0092420D"/>
    <w:rsid w:val="00925940"/>
    <w:rsid w:val="00925A0E"/>
    <w:rsid w:val="009378D1"/>
    <w:rsid w:val="0094052A"/>
    <w:rsid w:val="0094134E"/>
    <w:rsid w:val="00955C67"/>
    <w:rsid w:val="00956B48"/>
    <w:rsid w:val="00961327"/>
    <w:rsid w:val="00963CF5"/>
    <w:rsid w:val="00967016"/>
    <w:rsid w:val="00977AE3"/>
    <w:rsid w:val="00980FF5"/>
    <w:rsid w:val="0099122A"/>
    <w:rsid w:val="00994E2A"/>
    <w:rsid w:val="00997A4C"/>
    <w:rsid w:val="009A3211"/>
    <w:rsid w:val="009A43CE"/>
    <w:rsid w:val="009A5E0C"/>
    <w:rsid w:val="009A5EB7"/>
    <w:rsid w:val="009B04B2"/>
    <w:rsid w:val="009B4309"/>
    <w:rsid w:val="009B53A2"/>
    <w:rsid w:val="009C5815"/>
    <w:rsid w:val="009D1506"/>
    <w:rsid w:val="009D61FE"/>
    <w:rsid w:val="009D7FBF"/>
    <w:rsid w:val="009E360B"/>
    <w:rsid w:val="009E4FDD"/>
    <w:rsid w:val="009F22C9"/>
    <w:rsid w:val="009F3786"/>
    <w:rsid w:val="009F74AF"/>
    <w:rsid w:val="00A00D54"/>
    <w:rsid w:val="00A016E6"/>
    <w:rsid w:val="00A063C1"/>
    <w:rsid w:val="00A10326"/>
    <w:rsid w:val="00A11F71"/>
    <w:rsid w:val="00A15D7B"/>
    <w:rsid w:val="00A24707"/>
    <w:rsid w:val="00A26F31"/>
    <w:rsid w:val="00A33B1B"/>
    <w:rsid w:val="00A35156"/>
    <w:rsid w:val="00A353FE"/>
    <w:rsid w:val="00A43E0D"/>
    <w:rsid w:val="00A44ED1"/>
    <w:rsid w:val="00A4554C"/>
    <w:rsid w:val="00A506F7"/>
    <w:rsid w:val="00A555F0"/>
    <w:rsid w:val="00A67A67"/>
    <w:rsid w:val="00A76AD1"/>
    <w:rsid w:val="00A806E8"/>
    <w:rsid w:val="00A816B0"/>
    <w:rsid w:val="00A97DC7"/>
    <w:rsid w:val="00AA0D79"/>
    <w:rsid w:val="00AA6E05"/>
    <w:rsid w:val="00AA7662"/>
    <w:rsid w:val="00AB3EAE"/>
    <w:rsid w:val="00AF2A89"/>
    <w:rsid w:val="00AF6B1B"/>
    <w:rsid w:val="00B01DCB"/>
    <w:rsid w:val="00B07F6F"/>
    <w:rsid w:val="00B10753"/>
    <w:rsid w:val="00B11A01"/>
    <w:rsid w:val="00B1481E"/>
    <w:rsid w:val="00B172E3"/>
    <w:rsid w:val="00B222D0"/>
    <w:rsid w:val="00B22D17"/>
    <w:rsid w:val="00B25A2D"/>
    <w:rsid w:val="00B37656"/>
    <w:rsid w:val="00B5062F"/>
    <w:rsid w:val="00B60138"/>
    <w:rsid w:val="00B631B3"/>
    <w:rsid w:val="00B6373A"/>
    <w:rsid w:val="00B672FD"/>
    <w:rsid w:val="00B72147"/>
    <w:rsid w:val="00B772B8"/>
    <w:rsid w:val="00B82C92"/>
    <w:rsid w:val="00B83F61"/>
    <w:rsid w:val="00BB26E2"/>
    <w:rsid w:val="00BB2871"/>
    <w:rsid w:val="00BC3D7D"/>
    <w:rsid w:val="00BC471A"/>
    <w:rsid w:val="00BC4E7A"/>
    <w:rsid w:val="00BE715D"/>
    <w:rsid w:val="00BF1785"/>
    <w:rsid w:val="00BF69E1"/>
    <w:rsid w:val="00C03594"/>
    <w:rsid w:val="00C05E14"/>
    <w:rsid w:val="00C0676F"/>
    <w:rsid w:val="00C0733E"/>
    <w:rsid w:val="00C07E6A"/>
    <w:rsid w:val="00C1212E"/>
    <w:rsid w:val="00C12490"/>
    <w:rsid w:val="00C1277B"/>
    <w:rsid w:val="00C14EAC"/>
    <w:rsid w:val="00C231E0"/>
    <w:rsid w:val="00C24C28"/>
    <w:rsid w:val="00C24EFA"/>
    <w:rsid w:val="00C31B3A"/>
    <w:rsid w:val="00C336D7"/>
    <w:rsid w:val="00C4243D"/>
    <w:rsid w:val="00C45623"/>
    <w:rsid w:val="00C4577F"/>
    <w:rsid w:val="00C45BC7"/>
    <w:rsid w:val="00C72B20"/>
    <w:rsid w:val="00C72D29"/>
    <w:rsid w:val="00C86243"/>
    <w:rsid w:val="00CB04C3"/>
    <w:rsid w:val="00CB095E"/>
    <w:rsid w:val="00CB5333"/>
    <w:rsid w:val="00CC5A9D"/>
    <w:rsid w:val="00CC7F62"/>
    <w:rsid w:val="00CD3759"/>
    <w:rsid w:val="00CD3B9C"/>
    <w:rsid w:val="00CD71E3"/>
    <w:rsid w:val="00CF069D"/>
    <w:rsid w:val="00CF5C75"/>
    <w:rsid w:val="00D058EA"/>
    <w:rsid w:val="00D15008"/>
    <w:rsid w:val="00D164CD"/>
    <w:rsid w:val="00D31AEB"/>
    <w:rsid w:val="00D323A2"/>
    <w:rsid w:val="00D3309B"/>
    <w:rsid w:val="00D371D9"/>
    <w:rsid w:val="00D450BF"/>
    <w:rsid w:val="00D46480"/>
    <w:rsid w:val="00D50CCB"/>
    <w:rsid w:val="00D6073C"/>
    <w:rsid w:val="00D7123E"/>
    <w:rsid w:val="00D76CF1"/>
    <w:rsid w:val="00D80B63"/>
    <w:rsid w:val="00D8319B"/>
    <w:rsid w:val="00D83C42"/>
    <w:rsid w:val="00D849B6"/>
    <w:rsid w:val="00D85748"/>
    <w:rsid w:val="00DA6AAB"/>
    <w:rsid w:val="00DB2667"/>
    <w:rsid w:val="00DB6FAC"/>
    <w:rsid w:val="00DC1F47"/>
    <w:rsid w:val="00DD1DCF"/>
    <w:rsid w:val="00DE08D7"/>
    <w:rsid w:val="00DE1806"/>
    <w:rsid w:val="00DE37D8"/>
    <w:rsid w:val="00DE4E8B"/>
    <w:rsid w:val="00DE7D1D"/>
    <w:rsid w:val="00DF5A5C"/>
    <w:rsid w:val="00DF64A7"/>
    <w:rsid w:val="00DF78B2"/>
    <w:rsid w:val="00DF7D03"/>
    <w:rsid w:val="00E05A90"/>
    <w:rsid w:val="00E1236D"/>
    <w:rsid w:val="00E12F10"/>
    <w:rsid w:val="00E14983"/>
    <w:rsid w:val="00E16386"/>
    <w:rsid w:val="00E173B8"/>
    <w:rsid w:val="00E23E74"/>
    <w:rsid w:val="00E30125"/>
    <w:rsid w:val="00E32785"/>
    <w:rsid w:val="00E33123"/>
    <w:rsid w:val="00E5340C"/>
    <w:rsid w:val="00E6636C"/>
    <w:rsid w:val="00E87E18"/>
    <w:rsid w:val="00E960BF"/>
    <w:rsid w:val="00E967AB"/>
    <w:rsid w:val="00EA3800"/>
    <w:rsid w:val="00EA40EC"/>
    <w:rsid w:val="00EA4276"/>
    <w:rsid w:val="00EC1E3F"/>
    <w:rsid w:val="00EC217E"/>
    <w:rsid w:val="00EC385C"/>
    <w:rsid w:val="00ED414E"/>
    <w:rsid w:val="00EE181B"/>
    <w:rsid w:val="00EF4C25"/>
    <w:rsid w:val="00EF5FC2"/>
    <w:rsid w:val="00F00685"/>
    <w:rsid w:val="00F017AB"/>
    <w:rsid w:val="00F02165"/>
    <w:rsid w:val="00F167DD"/>
    <w:rsid w:val="00F305F9"/>
    <w:rsid w:val="00F339D1"/>
    <w:rsid w:val="00F362F5"/>
    <w:rsid w:val="00F41FDB"/>
    <w:rsid w:val="00F60884"/>
    <w:rsid w:val="00F64567"/>
    <w:rsid w:val="00F65932"/>
    <w:rsid w:val="00F70C85"/>
    <w:rsid w:val="00F7291A"/>
    <w:rsid w:val="00F744FF"/>
    <w:rsid w:val="00F86F2C"/>
    <w:rsid w:val="00F90AE2"/>
    <w:rsid w:val="00F9345C"/>
    <w:rsid w:val="00F95D6B"/>
    <w:rsid w:val="00F97AD7"/>
    <w:rsid w:val="00FA4A53"/>
    <w:rsid w:val="00FA6A6D"/>
    <w:rsid w:val="00FB3368"/>
    <w:rsid w:val="00FB6758"/>
    <w:rsid w:val="00FB74C2"/>
    <w:rsid w:val="00FC18AE"/>
    <w:rsid w:val="00FD3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97D7"/>
  <w15:docId w15:val="{6912C778-017B-48FC-959F-E0F4575C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931"/>
    <w:pPr>
      <w:spacing w:after="200" w:line="276" w:lineRule="auto"/>
    </w:pPr>
  </w:style>
  <w:style w:type="paragraph" w:styleId="Heading1">
    <w:name w:val="heading 1"/>
    <w:basedOn w:val="Normal"/>
    <w:next w:val="Normal"/>
    <w:link w:val="Heading1Char"/>
    <w:uiPriority w:val="9"/>
    <w:qFormat/>
    <w:rsid w:val="008E719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A97D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47931"/>
  </w:style>
  <w:style w:type="character" w:customStyle="1" w:styleId="apple-converted-space">
    <w:name w:val="apple-converted-space"/>
    <w:basedOn w:val="DefaultParagraphFont"/>
    <w:rsid w:val="00347931"/>
  </w:style>
  <w:style w:type="paragraph" w:styleId="ListParagraph">
    <w:name w:val="List Paragraph"/>
    <w:basedOn w:val="Normal"/>
    <w:uiPriority w:val="34"/>
    <w:qFormat/>
    <w:rsid w:val="007C7D2E"/>
    <w:pPr>
      <w:ind w:left="720"/>
      <w:contextualSpacing/>
    </w:pPr>
  </w:style>
  <w:style w:type="paragraph" w:customStyle="1" w:styleId="Default">
    <w:name w:val="Default"/>
    <w:rsid w:val="00657B78"/>
    <w:pPr>
      <w:autoSpaceDE w:val="0"/>
      <w:autoSpaceDN w:val="0"/>
      <w:adjustRightInd w:val="0"/>
    </w:pPr>
    <w:rPr>
      <w:rFonts w:eastAsia="Calibri"/>
      <w:color w:val="000000"/>
    </w:rPr>
  </w:style>
  <w:style w:type="character" w:styleId="Hyperlink">
    <w:name w:val="Hyperlink"/>
    <w:basedOn w:val="DefaultParagraphFont"/>
    <w:uiPriority w:val="99"/>
    <w:unhideWhenUsed/>
    <w:rsid w:val="00657B78"/>
    <w:rPr>
      <w:color w:val="0000FF"/>
      <w:u w:val="single"/>
    </w:rPr>
  </w:style>
  <w:style w:type="paragraph" w:styleId="PlainText">
    <w:name w:val="Plain Text"/>
    <w:basedOn w:val="Normal"/>
    <w:link w:val="PlainTextChar"/>
    <w:uiPriority w:val="99"/>
    <w:semiHidden/>
    <w:unhideWhenUsed/>
    <w:rsid w:val="00657B78"/>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657B78"/>
    <w:rPr>
      <w:rFonts w:ascii="Consolas" w:eastAsia="Calibri" w:hAnsi="Consolas"/>
      <w:sz w:val="21"/>
      <w:szCs w:val="21"/>
    </w:rPr>
  </w:style>
  <w:style w:type="paragraph" w:customStyle="1" w:styleId="DefaultText">
    <w:name w:val="Default Text"/>
    <w:basedOn w:val="Normal"/>
    <w:rsid w:val="00346A3C"/>
    <w:pPr>
      <w:widowControl w:val="0"/>
      <w:spacing w:after="0" w:line="240" w:lineRule="auto"/>
    </w:pPr>
    <w:rPr>
      <w:rFonts w:eastAsia="Times New Roman"/>
      <w:snapToGrid w:val="0"/>
      <w:szCs w:val="20"/>
    </w:rPr>
  </w:style>
  <w:style w:type="paragraph" w:styleId="Footer">
    <w:name w:val="footer"/>
    <w:basedOn w:val="Normal"/>
    <w:link w:val="FooterChar"/>
    <w:uiPriority w:val="99"/>
    <w:unhideWhenUsed/>
    <w:rsid w:val="00840C36"/>
    <w:pPr>
      <w:tabs>
        <w:tab w:val="center" w:pos="4320"/>
        <w:tab w:val="right" w:pos="8640"/>
      </w:tabs>
      <w:spacing w:after="0" w:line="240" w:lineRule="auto"/>
    </w:pPr>
  </w:style>
  <w:style w:type="character" w:customStyle="1" w:styleId="FooterChar">
    <w:name w:val="Footer Char"/>
    <w:basedOn w:val="DefaultParagraphFont"/>
    <w:link w:val="Footer"/>
    <w:uiPriority w:val="99"/>
    <w:rsid w:val="00840C36"/>
  </w:style>
  <w:style w:type="character" w:styleId="PageNumber">
    <w:name w:val="page number"/>
    <w:basedOn w:val="DefaultParagraphFont"/>
    <w:uiPriority w:val="99"/>
    <w:semiHidden/>
    <w:unhideWhenUsed/>
    <w:rsid w:val="00840C36"/>
  </w:style>
  <w:style w:type="paragraph" w:styleId="Header">
    <w:name w:val="header"/>
    <w:basedOn w:val="Normal"/>
    <w:link w:val="HeaderChar"/>
    <w:uiPriority w:val="99"/>
    <w:unhideWhenUsed/>
    <w:rsid w:val="007A0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3A"/>
  </w:style>
  <w:style w:type="character" w:styleId="CommentReference">
    <w:name w:val="annotation reference"/>
    <w:basedOn w:val="DefaultParagraphFont"/>
    <w:uiPriority w:val="99"/>
    <w:unhideWhenUsed/>
    <w:rsid w:val="00C4577F"/>
    <w:rPr>
      <w:sz w:val="16"/>
      <w:szCs w:val="16"/>
    </w:rPr>
  </w:style>
  <w:style w:type="paragraph" w:styleId="CommentText">
    <w:name w:val="annotation text"/>
    <w:basedOn w:val="Normal"/>
    <w:link w:val="CommentTextChar"/>
    <w:uiPriority w:val="99"/>
    <w:unhideWhenUsed/>
    <w:rsid w:val="00C4577F"/>
    <w:pPr>
      <w:spacing w:line="240" w:lineRule="auto"/>
    </w:pPr>
    <w:rPr>
      <w:sz w:val="20"/>
      <w:szCs w:val="20"/>
    </w:rPr>
  </w:style>
  <w:style w:type="character" w:customStyle="1" w:styleId="CommentTextChar">
    <w:name w:val="Comment Text Char"/>
    <w:basedOn w:val="DefaultParagraphFont"/>
    <w:link w:val="CommentText"/>
    <w:uiPriority w:val="99"/>
    <w:rsid w:val="00C4577F"/>
    <w:rPr>
      <w:sz w:val="20"/>
      <w:szCs w:val="20"/>
    </w:rPr>
  </w:style>
  <w:style w:type="paragraph" w:styleId="CommentSubject">
    <w:name w:val="annotation subject"/>
    <w:basedOn w:val="CommentText"/>
    <w:next w:val="CommentText"/>
    <w:link w:val="CommentSubjectChar"/>
    <w:uiPriority w:val="99"/>
    <w:semiHidden/>
    <w:unhideWhenUsed/>
    <w:rsid w:val="00C4577F"/>
    <w:rPr>
      <w:b/>
      <w:bCs/>
    </w:rPr>
  </w:style>
  <w:style w:type="character" w:customStyle="1" w:styleId="CommentSubjectChar">
    <w:name w:val="Comment Subject Char"/>
    <w:basedOn w:val="CommentTextChar"/>
    <w:link w:val="CommentSubject"/>
    <w:uiPriority w:val="99"/>
    <w:semiHidden/>
    <w:rsid w:val="00C4577F"/>
    <w:rPr>
      <w:b/>
      <w:bCs/>
      <w:sz w:val="20"/>
      <w:szCs w:val="20"/>
    </w:rPr>
  </w:style>
  <w:style w:type="paragraph" w:styleId="BalloonText">
    <w:name w:val="Balloon Text"/>
    <w:basedOn w:val="Normal"/>
    <w:link w:val="BalloonTextChar"/>
    <w:uiPriority w:val="99"/>
    <w:semiHidden/>
    <w:unhideWhenUsed/>
    <w:rsid w:val="00C45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77F"/>
    <w:rPr>
      <w:rFonts w:ascii="Tahoma" w:hAnsi="Tahoma" w:cs="Tahoma"/>
      <w:sz w:val="16"/>
      <w:szCs w:val="16"/>
    </w:rPr>
  </w:style>
  <w:style w:type="character" w:customStyle="1" w:styleId="authorship">
    <w:name w:val="authorship"/>
    <w:basedOn w:val="DefaultParagraphFont"/>
    <w:rsid w:val="00C4577F"/>
  </w:style>
  <w:style w:type="paragraph" w:styleId="FootnoteText">
    <w:name w:val="footnote text"/>
    <w:basedOn w:val="Normal"/>
    <w:link w:val="FootnoteTextChar"/>
    <w:uiPriority w:val="99"/>
    <w:semiHidden/>
    <w:unhideWhenUsed/>
    <w:rsid w:val="00A00D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D54"/>
    <w:rPr>
      <w:sz w:val="20"/>
      <w:szCs w:val="20"/>
    </w:rPr>
  </w:style>
  <w:style w:type="character" w:styleId="FootnoteReference">
    <w:name w:val="footnote reference"/>
    <w:basedOn w:val="DefaultParagraphFont"/>
    <w:uiPriority w:val="99"/>
    <w:semiHidden/>
    <w:unhideWhenUsed/>
    <w:rsid w:val="00A00D54"/>
    <w:rPr>
      <w:vertAlign w:val="superscript"/>
    </w:rPr>
  </w:style>
  <w:style w:type="paragraph" w:styleId="Revision">
    <w:name w:val="Revision"/>
    <w:hidden/>
    <w:uiPriority w:val="99"/>
    <w:semiHidden/>
    <w:rsid w:val="00753AC1"/>
  </w:style>
  <w:style w:type="character" w:customStyle="1" w:styleId="Heading1Char">
    <w:name w:val="Heading 1 Char"/>
    <w:basedOn w:val="DefaultParagraphFont"/>
    <w:link w:val="Heading1"/>
    <w:uiPriority w:val="9"/>
    <w:rsid w:val="008E7199"/>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uiPriority w:val="1"/>
    <w:qFormat/>
    <w:rsid w:val="002B4D11"/>
    <w:pPr>
      <w:widowControl w:val="0"/>
      <w:spacing w:after="0" w:line="240" w:lineRule="auto"/>
      <w:ind w:left="100"/>
    </w:pPr>
    <w:rPr>
      <w:rFonts w:eastAsia="Times New Roman"/>
    </w:rPr>
  </w:style>
  <w:style w:type="character" w:customStyle="1" w:styleId="BodyTextChar">
    <w:name w:val="Body Text Char"/>
    <w:basedOn w:val="DefaultParagraphFont"/>
    <w:link w:val="BodyText"/>
    <w:uiPriority w:val="1"/>
    <w:rsid w:val="002B4D11"/>
    <w:rPr>
      <w:rFonts w:eastAsia="Times New Roman"/>
    </w:rPr>
  </w:style>
  <w:style w:type="character" w:customStyle="1" w:styleId="Heading2Char">
    <w:name w:val="Heading 2 Char"/>
    <w:basedOn w:val="DefaultParagraphFont"/>
    <w:link w:val="Heading2"/>
    <w:uiPriority w:val="9"/>
    <w:semiHidden/>
    <w:rsid w:val="00A97DC7"/>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407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sChar">
    <w:name w:val="References Char"/>
    <w:link w:val="References"/>
    <w:locked/>
    <w:rsid w:val="00724969"/>
    <w:rPr>
      <w:rFonts w:ascii="Arial" w:eastAsia="Arial" w:hAnsi="Arial"/>
      <w:lang w:val="x-none" w:eastAsia="x-none"/>
    </w:rPr>
  </w:style>
  <w:style w:type="paragraph" w:customStyle="1" w:styleId="References">
    <w:name w:val="References"/>
    <w:basedOn w:val="Normal"/>
    <w:link w:val="ReferencesChar"/>
    <w:qFormat/>
    <w:rsid w:val="00724969"/>
    <w:pPr>
      <w:ind w:left="720" w:hanging="720"/>
    </w:pPr>
    <w:rPr>
      <w:rFonts w:ascii="Arial" w:eastAsia="Arial" w:hAnsi="Arial"/>
      <w:lang w:val="x-none" w:eastAsia="x-none"/>
    </w:rPr>
  </w:style>
  <w:style w:type="paragraph" w:styleId="NoSpacing">
    <w:name w:val="No Spacing"/>
    <w:link w:val="NoSpacingChar"/>
    <w:uiPriority w:val="1"/>
    <w:qFormat/>
    <w:rsid w:val="00AF6B1B"/>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AF6B1B"/>
    <w:rPr>
      <w:rFonts w:asciiTheme="minorHAnsi" w:eastAsiaTheme="minorHAnsi" w:hAnsiTheme="minorHAnsi" w:cstheme="minorBidi"/>
      <w:sz w:val="22"/>
      <w:szCs w:val="22"/>
    </w:rPr>
  </w:style>
  <w:style w:type="paragraph" w:styleId="BodyTextIndent">
    <w:name w:val="Body Text Indent"/>
    <w:basedOn w:val="Normal"/>
    <w:link w:val="BodyTextIndentChar"/>
    <w:uiPriority w:val="99"/>
    <w:semiHidden/>
    <w:unhideWhenUsed/>
    <w:rsid w:val="009F22C9"/>
    <w:pPr>
      <w:spacing w:after="120"/>
      <w:ind w:left="360"/>
    </w:pPr>
  </w:style>
  <w:style w:type="character" w:customStyle="1" w:styleId="BodyTextIndentChar">
    <w:name w:val="Body Text Indent Char"/>
    <w:basedOn w:val="DefaultParagraphFont"/>
    <w:link w:val="BodyTextIndent"/>
    <w:uiPriority w:val="99"/>
    <w:semiHidden/>
    <w:rsid w:val="009F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4832">
      <w:bodyDiv w:val="1"/>
      <w:marLeft w:val="0"/>
      <w:marRight w:val="0"/>
      <w:marTop w:val="0"/>
      <w:marBottom w:val="0"/>
      <w:divBdr>
        <w:top w:val="none" w:sz="0" w:space="0" w:color="auto"/>
        <w:left w:val="none" w:sz="0" w:space="0" w:color="auto"/>
        <w:bottom w:val="none" w:sz="0" w:space="0" w:color="auto"/>
        <w:right w:val="none" w:sz="0" w:space="0" w:color="auto"/>
      </w:divBdr>
    </w:div>
    <w:div w:id="66922892">
      <w:bodyDiv w:val="1"/>
      <w:marLeft w:val="0"/>
      <w:marRight w:val="0"/>
      <w:marTop w:val="0"/>
      <w:marBottom w:val="0"/>
      <w:divBdr>
        <w:top w:val="none" w:sz="0" w:space="0" w:color="auto"/>
        <w:left w:val="none" w:sz="0" w:space="0" w:color="auto"/>
        <w:bottom w:val="none" w:sz="0" w:space="0" w:color="auto"/>
        <w:right w:val="none" w:sz="0" w:space="0" w:color="auto"/>
      </w:divBdr>
    </w:div>
    <w:div w:id="139544383">
      <w:bodyDiv w:val="1"/>
      <w:marLeft w:val="0"/>
      <w:marRight w:val="0"/>
      <w:marTop w:val="0"/>
      <w:marBottom w:val="0"/>
      <w:divBdr>
        <w:top w:val="none" w:sz="0" w:space="0" w:color="auto"/>
        <w:left w:val="none" w:sz="0" w:space="0" w:color="auto"/>
        <w:bottom w:val="none" w:sz="0" w:space="0" w:color="auto"/>
        <w:right w:val="none" w:sz="0" w:space="0" w:color="auto"/>
      </w:divBdr>
    </w:div>
    <w:div w:id="153766083">
      <w:bodyDiv w:val="1"/>
      <w:marLeft w:val="0"/>
      <w:marRight w:val="0"/>
      <w:marTop w:val="0"/>
      <w:marBottom w:val="0"/>
      <w:divBdr>
        <w:top w:val="none" w:sz="0" w:space="0" w:color="auto"/>
        <w:left w:val="none" w:sz="0" w:space="0" w:color="auto"/>
        <w:bottom w:val="none" w:sz="0" w:space="0" w:color="auto"/>
        <w:right w:val="none" w:sz="0" w:space="0" w:color="auto"/>
      </w:divBdr>
    </w:div>
    <w:div w:id="158426056">
      <w:bodyDiv w:val="1"/>
      <w:marLeft w:val="0"/>
      <w:marRight w:val="0"/>
      <w:marTop w:val="0"/>
      <w:marBottom w:val="0"/>
      <w:divBdr>
        <w:top w:val="none" w:sz="0" w:space="0" w:color="auto"/>
        <w:left w:val="none" w:sz="0" w:space="0" w:color="auto"/>
        <w:bottom w:val="none" w:sz="0" w:space="0" w:color="auto"/>
        <w:right w:val="none" w:sz="0" w:space="0" w:color="auto"/>
      </w:divBdr>
    </w:div>
    <w:div w:id="256182139">
      <w:bodyDiv w:val="1"/>
      <w:marLeft w:val="0"/>
      <w:marRight w:val="0"/>
      <w:marTop w:val="0"/>
      <w:marBottom w:val="0"/>
      <w:divBdr>
        <w:top w:val="none" w:sz="0" w:space="0" w:color="auto"/>
        <w:left w:val="none" w:sz="0" w:space="0" w:color="auto"/>
        <w:bottom w:val="none" w:sz="0" w:space="0" w:color="auto"/>
        <w:right w:val="none" w:sz="0" w:space="0" w:color="auto"/>
      </w:divBdr>
    </w:div>
    <w:div w:id="310595432">
      <w:bodyDiv w:val="1"/>
      <w:marLeft w:val="0"/>
      <w:marRight w:val="0"/>
      <w:marTop w:val="0"/>
      <w:marBottom w:val="0"/>
      <w:divBdr>
        <w:top w:val="none" w:sz="0" w:space="0" w:color="auto"/>
        <w:left w:val="none" w:sz="0" w:space="0" w:color="auto"/>
        <w:bottom w:val="none" w:sz="0" w:space="0" w:color="auto"/>
        <w:right w:val="none" w:sz="0" w:space="0" w:color="auto"/>
      </w:divBdr>
    </w:div>
    <w:div w:id="356395780">
      <w:bodyDiv w:val="1"/>
      <w:marLeft w:val="0"/>
      <w:marRight w:val="0"/>
      <w:marTop w:val="0"/>
      <w:marBottom w:val="0"/>
      <w:divBdr>
        <w:top w:val="none" w:sz="0" w:space="0" w:color="auto"/>
        <w:left w:val="none" w:sz="0" w:space="0" w:color="auto"/>
        <w:bottom w:val="none" w:sz="0" w:space="0" w:color="auto"/>
        <w:right w:val="none" w:sz="0" w:space="0" w:color="auto"/>
      </w:divBdr>
    </w:div>
    <w:div w:id="396443509">
      <w:bodyDiv w:val="1"/>
      <w:marLeft w:val="0"/>
      <w:marRight w:val="0"/>
      <w:marTop w:val="0"/>
      <w:marBottom w:val="0"/>
      <w:divBdr>
        <w:top w:val="none" w:sz="0" w:space="0" w:color="auto"/>
        <w:left w:val="none" w:sz="0" w:space="0" w:color="auto"/>
        <w:bottom w:val="none" w:sz="0" w:space="0" w:color="auto"/>
        <w:right w:val="none" w:sz="0" w:space="0" w:color="auto"/>
      </w:divBdr>
    </w:div>
    <w:div w:id="485753654">
      <w:bodyDiv w:val="1"/>
      <w:marLeft w:val="0"/>
      <w:marRight w:val="0"/>
      <w:marTop w:val="0"/>
      <w:marBottom w:val="0"/>
      <w:divBdr>
        <w:top w:val="none" w:sz="0" w:space="0" w:color="auto"/>
        <w:left w:val="none" w:sz="0" w:space="0" w:color="auto"/>
        <w:bottom w:val="none" w:sz="0" w:space="0" w:color="auto"/>
        <w:right w:val="none" w:sz="0" w:space="0" w:color="auto"/>
      </w:divBdr>
    </w:div>
    <w:div w:id="502203509">
      <w:bodyDiv w:val="1"/>
      <w:marLeft w:val="0"/>
      <w:marRight w:val="0"/>
      <w:marTop w:val="0"/>
      <w:marBottom w:val="0"/>
      <w:divBdr>
        <w:top w:val="none" w:sz="0" w:space="0" w:color="auto"/>
        <w:left w:val="none" w:sz="0" w:space="0" w:color="auto"/>
        <w:bottom w:val="none" w:sz="0" w:space="0" w:color="auto"/>
        <w:right w:val="none" w:sz="0" w:space="0" w:color="auto"/>
      </w:divBdr>
    </w:div>
    <w:div w:id="526794567">
      <w:bodyDiv w:val="1"/>
      <w:marLeft w:val="0"/>
      <w:marRight w:val="0"/>
      <w:marTop w:val="0"/>
      <w:marBottom w:val="0"/>
      <w:divBdr>
        <w:top w:val="none" w:sz="0" w:space="0" w:color="auto"/>
        <w:left w:val="none" w:sz="0" w:space="0" w:color="auto"/>
        <w:bottom w:val="none" w:sz="0" w:space="0" w:color="auto"/>
        <w:right w:val="none" w:sz="0" w:space="0" w:color="auto"/>
      </w:divBdr>
    </w:div>
    <w:div w:id="542182764">
      <w:bodyDiv w:val="1"/>
      <w:marLeft w:val="0"/>
      <w:marRight w:val="0"/>
      <w:marTop w:val="0"/>
      <w:marBottom w:val="0"/>
      <w:divBdr>
        <w:top w:val="none" w:sz="0" w:space="0" w:color="auto"/>
        <w:left w:val="none" w:sz="0" w:space="0" w:color="auto"/>
        <w:bottom w:val="none" w:sz="0" w:space="0" w:color="auto"/>
        <w:right w:val="none" w:sz="0" w:space="0" w:color="auto"/>
      </w:divBdr>
    </w:div>
    <w:div w:id="764571485">
      <w:bodyDiv w:val="1"/>
      <w:marLeft w:val="0"/>
      <w:marRight w:val="0"/>
      <w:marTop w:val="0"/>
      <w:marBottom w:val="0"/>
      <w:divBdr>
        <w:top w:val="none" w:sz="0" w:space="0" w:color="auto"/>
        <w:left w:val="none" w:sz="0" w:space="0" w:color="auto"/>
        <w:bottom w:val="none" w:sz="0" w:space="0" w:color="auto"/>
        <w:right w:val="none" w:sz="0" w:space="0" w:color="auto"/>
      </w:divBdr>
    </w:div>
    <w:div w:id="1159543119">
      <w:bodyDiv w:val="1"/>
      <w:marLeft w:val="0"/>
      <w:marRight w:val="0"/>
      <w:marTop w:val="0"/>
      <w:marBottom w:val="0"/>
      <w:divBdr>
        <w:top w:val="none" w:sz="0" w:space="0" w:color="auto"/>
        <w:left w:val="none" w:sz="0" w:space="0" w:color="auto"/>
        <w:bottom w:val="none" w:sz="0" w:space="0" w:color="auto"/>
        <w:right w:val="none" w:sz="0" w:space="0" w:color="auto"/>
      </w:divBdr>
    </w:div>
    <w:div w:id="1193300100">
      <w:bodyDiv w:val="1"/>
      <w:marLeft w:val="0"/>
      <w:marRight w:val="0"/>
      <w:marTop w:val="0"/>
      <w:marBottom w:val="0"/>
      <w:divBdr>
        <w:top w:val="none" w:sz="0" w:space="0" w:color="auto"/>
        <w:left w:val="none" w:sz="0" w:space="0" w:color="auto"/>
        <w:bottom w:val="none" w:sz="0" w:space="0" w:color="auto"/>
        <w:right w:val="none" w:sz="0" w:space="0" w:color="auto"/>
      </w:divBdr>
    </w:div>
    <w:div w:id="1209994676">
      <w:bodyDiv w:val="1"/>
      <w:marLeft w:val="0"/>
      <w:marRight w:val="0"/>
      <w:marTop w:val="0"/>
      <w:marBottom w:val="0"/>
      <w:divBdr>
        <w:top w:val="none" w:sz="0" w:space="0" w:color="auto"/>
        <w:left w:val="none" w:sz="0" w:space="0" w:color="auto"/>
        <w:bottom w:val="none" w:sz="0" w:space="0" w:color="auto"/>
        <w:right w:val="none" w:sz="0" w:space="0" w:color="auto"/>
      </w:divBdr>
    </w:div>
    <w:div w:id="1237738042">
      <w:bodyDiv w:val="1"/>
      <w:marLeft w:val="0"/>
      <w:marRight w:val="0"/>
      <w:marTop w:val="0"/>
      <w:marBottom w:val="0"/>
      <w:divBdr>
        <w:top w:val="none" w:sz="0" w:space="0" w:color="auto"/>
        <w:left w:val="none" w:sz="0" w:space="0" w:color="auto"/>
        <w:bottom w:val="none" w:sz="0" w:space="0" w:color="auto"/>
        <w:right w:val="none" w:sz="0" w:space="0" w:color="auto"/>
      </w:divBdr>
    </w:div>
    <w:div w:id="1293244675">
      <w:bodyDiv w:val="1"/>
      <w:marLeft w:val="0"/>
      <w:marRight w:val="0"/>
      <w:marTop w:val="0"/>
      <w:marBottom w:val="0"/>
      <w:divBdr>
        <w:top w:val="none" w:sz="0" w:space="0" w:color="auto"/>
        <w:left w:val="none" w:sz="0" w:space="0" w:color="auto"/>
        <w:bottom w:val="none" w:sz="0" w:space="0" w:color="auto"/>
        <w:right w:val="none" w:sz="0" w:space="0" w:color="auto"/>
      </w:divBdr>
    </w:div>
    <w:div w:id="1404178325">
      <w:bodyDiv w:val="1"/>
      <w:marLeft w:val="0"/>
      <w:marRight w:val="0"/>
      <w:marTop w:val="0"/>
      <w:marBottom w:val="0"/>
      <w:divBdr>
        <w:top w:val="none" w:sz="0" w:space="0" w:color="auto"/>
        <w:left w:val="none" w:sz="0" w:space="0" w:color="auto"/>
        <w:bottom w:val="none" w:sz="0" w:space="0" w:color="auto"/>
        <w:right w:val="none" w:sz="0" w:space="0" w:color="auto"/>
      </w:divBdr>
    </w:div>
    <w:div w:id="1575092238">
      <w:bodyDiv w:val="1"/>
      <w:marLeft w:val="0"/>
      <w:marRight w:val="0"/>
      <w:marTop w:val="0"/>
      <w:marBottom w:val="0"/>
      <w:divBdr>
        <w:top w:val="none" w:sz="0" w:space="0" w:color="auto"/>
        <w:left w:val="none" w:sz="0" w:space="0" w:color="auto"/>
        <w:bottom w:val="none" w:sz="0" w:space="0" w:color="auto"/>
        <w:right w:val="none" w:sz="0" w:space="0" w:color="auto"/>
      </w:divBdr>
    </w:div>
    <w:div w:id="1639795998">
      <w:bodyDiv w:val="1"/>
      <w:marLeft w:val="0"/>
      <w:marRight w:val="0"/>
      <w:marTop w:val="0"/>
      <w:marBottom w:val="0"/>
      <w:divBdr>
        <w:top w:val="none" w:sz="0" w:space="0" w:color="auto"/>
        <w:left w:val="none" w:sz="0" w:space="0" w:color="auto"/>
        <w:bottom w:val="none" w:sz="0" w:space="0" w:color="auto"/>
        <w:right w:val="none" w:sz="0" w:space="0" w:color="auto"/>
      </w:divBdr>
    </w:div>
    <w:div w:id="1649170228">
      <w:bodyDiv w:val="1"/>
      <w:marLeft w:val="0"/>
      <w:marRight w:val="0"/>
      <w:marTop w:val="0"/>
      <w:marBottom w:val="0"/>
      <w:divBdr>
        <w:top w:val="none" w:sz="0" w:space="0" w:color="auto"/>
        <w:left w:val="none" w:sz="0" w:space="0" w:color="auto"/>
        <w:bottom w:val="none" w:sz="0" w:space="0" w:color="auto"/>
        <w:right w:val="none" w:sz="0" w:space="0" w:color="auto"/>
      </w:divBdr>
    </w:div>
    <w:div w:id="1842625731">
      <w:bodyDiv w:val="1"/>
      <w:marLeft w:val="0"/>
      <w:marRight w:val="0"/>
      <w:marTop w:val="0"/>
      <w:marBottom w:val="0"/>
      <w:divBdr>
        <w:top w:val="none" w:sz="0" w:space="0" w:color="auto"/>
        <w:left w:val="none" w:sz="0" w:space="0" w:color="auto"/>
        <w:bottom w:val="none" w:sz="0" w:space="0" w:color="auto"/>
        <w:right w:val="none" w:sz="0" w:space="0" w:color="auto"/>
      </w:divBdr>
    </w:div>
    <w:div w:id="1874148096">
      <w:bodyDiv w:val="1"/>
      <w:marLeft w:val="0"/>
      <w:marRight w:val="0"/>
      <w:marTop w:val="0"/>
      <w:marBottom w:val="0"/>
      <w:divBdr>
        <w:top w:val="none" w:sz="0" w:space="0" w:color="auto"/>
        <w:left w:val="none" w:sz="0" w:space="0" w:color="auto"/>
        <w:bottom w:val="none" w:sz="0" w:space="0" w:color="auto"/>
        <w:right w:val="none" w:sz="0" w:space="0" w:color="auto"/>
      </w:divBdr>
    </w:div>
    <w:div w:id="1904173952">
      <w:bodyDiv w:val="1"/>
      <w:marLeft w:val="0"/>
      <w:marRight w:val="0"/>
      <w:marTop w:val="0"/>
      <w:marBottom w:val="0"/>
      <w:divBdr>
        <w:top w:val="none" w:sz="0" w:space="0" w:color="auto"/>
        <w:left w:val="none" w:sz="0" w:space="0" w:color="auto"/>
        <w:bottom w:val="none" w:sz="0" w:space="0" w:color="auto"/>
        <w:right w:val="none" w:sz="0" w:space="0" w:color="auto"/>
      </w:divBdr>
    </w:div>
    <w:div w:id="1921211072">
      <w:bodyDiv w:val="1"/>
      <w:marLeft w:val="0"/>
      <w:marRight w:val="0"/>
      <w:marTop w:val="0"/>
      <w:marBottom w:val="0"/>
      <w:divBdr>
        <w:top w:val="none" w:sz="0" w:space="0" w:color="auto"/>
        <w:left w:val="none" w:sz="0" w:space="0" w:color="auto"/>
        <w:bottom w:val="none" w:sz="0" w:space="0" w:color="auto"/>
        <w:right w:val="none" w:sz="0" w:space="0" w:color="auto"/>
      </w:divBdr>
    </w:div>
    <w:div w:id="1922256334">
      <w:bodyDiv w:val="1"/>
      <w:marLeft w:val="0"/>
      <w:marRight w:val="0"/>
      <w:marTop w:val="0"/>
      <w:marBottom w:val="0"/>
      <w:divBdr>
        <w:top w:val="none" w:sz="0" w:space="0" w:color="auto"/>
        <w:left w:val="none" w:sz="0" w:space="0" w:color="auto"/>
        <w:bottom w:val="none" w:sz="0" w:space="0" w:color="auto"/>
        <w:right w:val="none" w:sz="0" w:space="0" w:color="auto"/>
      </w:divBdr>
    </w:div>
    <w:div w:id="1945646464">
      <w:bodyDiv w:val="1"/>
      <w:marLeft w:val="0"/>
      <w:marRight w:val="0"/>
      <w:marTop w:val="0"/>
      <w:marBottom w:val="0"/>
      <w:divBdr>
        <w:top w:val="none" w:sz="0" w:space="0" w:color="auto"/>
        <w:left w:val="none" w:sz="0" w:space="0" w:color="auto"/>
        <w:bottom w:val="none" w:sz="0" w:space="0" w:color="auto"/>
        <w:right w:val="none" w:sz="0" w:space="0" w:color="auto"/>
      </w:divBdr>
    </w:div>
    <w:div w:id="2077045727">
      <w:bodyDiv w:val="1"/>
      <w:marLeft w:val="0"/>
      <w:marRight w:val="0"/>
      <w:marTop w:val="0"/>
      <w:marBottom w:val="0"/>
      <w:divBdr>
        <w:top w:val="none" w:sz="0" w:space="0" w:color="auto"/>
        <w:left w:val="none" w:sz="0" w:space="0" w:color="auto"/>
        <w:bottom w:val="none" w:sz="0" w:space="0" w:color="auto"/>
        <w:right w:val="none" w:sz="0" w:space="0" w:color="auto"/>
      </w:divBdr>
    </w:div>
    <w:div w:id="2087723587">
      <w:bodyDiv w:val="1"/>
      <w:marLeft w:val="0"/>
      <w:marRight w:val="0"/>
      <w:marTop w:val="0"/>
      <w:marBottom w:val="0"/>
      <w:divBdr>
        <w:top w:val="none" w:sz="0" w:space="0" w:color="auto"/>
        <w:left w:val="none" w:sz="0" w:space="0" w:color="auto"/>
        <w:bottom w:val="none" w:sz="0" w:space="0" w:color="auto"/>
        <w:right w:val="none" w:sz="0" w:space="0" w:color="auto"/>
      </w:divBdr>
    </w:div>
    <w:div w:id="2111461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species/chinook-salmon-protecte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sheries.noaa.gov/species/chinook-salmon-protect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ie.wilson@navy.m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ants.gov/web/grants/forms/r-r-family.html" TargetMode="External"/><Relationship Id="rId4" Type="http://schemas.openxmlformats.org/officeDocument/2006/relationships/settings" Target="settings.xml"/><Relationship Id="rId9" Type="http://schemas.openxmlformats.org/officeDocument/2006/relationships/hyperlink" Target="mailto:kellie.wilson@navy.mi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94B2F14-454F-4B84-A77F-7A3071A9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ONE-NET</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Brooke</dc:creator>
  <cp:lastModifiedBy>Wilson, Kellie V CIV NAVFAC SW, ACQ4</cp:lastModifiedBy>
  <cp:revision>2</cp:revision>
  <cp:lastPrinted>2019-12-17T20:10:00Z</cp:lastPrinted>
  <dcterms:created xsi:type="dcterms:W3CDTF">2020-01-06T16:37:00Z</dcterms:created>
  <dcterms:modified xsi:type="dcterms:W3CDTF">2020-01-06T16:37:00Z</dcterms:modified>
</cp:coreProperties>
</file>