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CBCD" w14:textId="77777777" w:rsidR="006C50C1" w:rsidRPr="000A0C8C" w:rsidRDefault="006C50C1" w:rsidP="006C50C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0A0C8C">
        <w:rPr>
          <w:rFonts w:asciiTheme="minorHAnsi" w:hAnsiTheme="minorHAnsi" w:cstheme="minorHAnsi"/>
          <w:noProof/>
          <w:color w:val="000000"/>
          <w:sz w:val="20"/>
          <w:szCs w:val="20"/>
        </w:rPr>
        <w:drawing>
          <wp:inline distT="0" distB="0" distL="0" distR="0" wp14:anchorId="3AF6BDB8" wp14:editId="26D9172F">
            <wp:extent cx="2159000" cy="450792"/>
            <wp:effectExtent l="0" t="0" r="0" b="6985"/>
            <wp:docPr id="1" name="Picture 1" descr="two-color Mayo Clin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-color Mayo Clinic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5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3E21" w14:textId="77777777" w:rsidR="00EA46EF" w:rsidRDefault="00EA46EF" w:rsidP="006C50C1">
      <w:pPr>
        <w:rPr>
          <w:rFonts w:asciiTheme="minorHAnsi" w:hAnsiTheme="minorHAnsi" w:cstheme="minorHAnsi"/>
          <w:sz w:val="20"/>
          <w:szCs w:val="20"/>
        </w:rPr>
      </w:pPr>
    </w:p>
    <w:p w14:paraId="454E5CD7" w14:textId="77777777" w:rsidR="006C50C1" w:rsidRDefault="006C50C1" w:rsidP="00886EBD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0A0C8C">
        <w:rPr>
          <w:rFonts w:asciiTheme="minorHAnsi" w:hAnsiTheme="minorHAnsi" w:cstheme="minorHAnsi"/>
          <w:sz w:val="20"/>
          <w:szCs w:val="20"/>
        </w:rPr>
        <w:t xml:space="preserve">As </w:t>
      </w:r>
      <w:r w:rsidR="006B5B16">
        <w:rPr>
          <w:rFonts w:asciiTheme="minorHAnsi" w:hAnsiTheme="minorHAnsi" w:cstheme="minorHAnsi"/>
          <w:sz w:val="20"/>
          <w:szCs w:val="20"/>
        </w:rPr>
        <w:t xml:space="preserve">work in labs ramp up, </w:t>
      </w:r>
      <w:r w:rsidRPr="000A0C8C">
        <w:rPr>
          <w:rFonts w:asciiTheme="minorHAnsi" w:hAnsiTheme="minorHAnsi" w:cstheme="minorHAnsi"/>
          <w:sz w:val="20"/>
          <w:szCs w:val="20"/>
        </w:rPr>
        <w:t xml:space="preserve">please consider the safety of all staff.  </w:t>
      </w:r>
      <w:r w:rsidR="006B5B16">
        <w:rPr>
          <w:rFonts w:asciiTheme="minorHAnsi" w:hAnsiTheme="minorHAnsi" w:cstheme="minorHAnsi"/>
          <w:sz w:val="20"/>
          <w:szCs w:val="20"/>
        </w:rPr>
        <w:t xml:space="preserve">Schedule and social distancing templates are </w:t>
      </w:r>
      <w:r w:rsidR="00D957C6">
        <w:rPr>
          <w:rFonts w:asciiTheme="minorHAnsi" w:hAnsiTheme="minorHAnsi" w:cstheme="minorHAnsi"/>
          <w:sz w:val="20"/>
          <w:szCs w:val="20"/>
        </w:rPr>
        <w:t>linked below</w:t>
      </w:r>
      <w:r w:rsidR="00D520AD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eGrid"/>
        <w:tblW w:w="11448" w:type="dxa"/>
        <w:tblLook w:val="04A0" w:firstRow="1" w:lastRow="0" w:firstColumn="1" w:lastColumn="0" w:noHBand="0" w:noVBand="1"/>
      </w:tblPr>
      <w:tblGrid>
        <w:gridCol w:w="10278"/>
        <w:gridCol w:w="1170"/>
      </w:tblGrid>
      <w:tr w:rsidR="00A32276" w:rsidRPr="000A0C8C" w14:paraId="03BD5655" w14:textId="77777777" w:rsidTr="00202487">
        <w:tc>
          <w:tcPr>
            <w:tcW w:w="10278" w:type="dxa"/>
            <w:shd w:val="clear" w:color="auto" w:fill="D9D9D9" w:themeFill="background1" w:themeFillShade="D9"/>
          </w:tcPr>
          <w:p w14:paraId="6A4C90D3" w14:textId="77777777" w:rsidR="00A32276" w:rsidRPr="000A0C8C" w:rsidRDefault="00A32276" w:rsidP="006C50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Safety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65CDE00" w14:textId="77777777" w:rsidR="00A32276" w:rsidRPr="000A0C8C" w:rsidRDefault="00A32276" w:rsidP="000648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Assessed</w:t>
            </w:r>
          </w:p>
        </w:tc>
      </w:tr>
      <w:tr w:rsidR="00A32276" w:rsidRPr="000A0C8C" w14:paraId="43D02278" w14:textId="77777777" w:rsidTr="00202487">
        <w:tc>
          <w:tcPr>
            <w:tcW w:w="10278" w:type="dxa"/>
          </w:tcPr>
          <w:p w14:paraId="11A5B46D" w14:textId="77777777" w:rsidR="00A32276" w:rsidRPr="000A0C8C" w:rsidRDefault="00A32276" w:rsidP="00782A06">
            <w:pPr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Stay home if you are sick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.  If</w:t>
            </w:r>
            <w:r w:rsidR="002441A2"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 displaying any 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symptoms of COVID-19 (</w:t>
            </w:r>
            <w:r w:rsidR="00782A06">
              <w:rPr>
                <w:rFonts w:asciiTheme="minorHAnsi" w:hAnsiTheme="minorHAnsi" w:cstheme="minorHAnsi"/>
                <w:sz w:val="20"/>
                <w:szCs w:val="20"/>
              </w:rPr>
              <w:t>cough or fever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), get screened, diagnosed and cleared by Occupational Health before returning to work. </w:t>
            </w:r>
          </w:p>
        </w:tc>
        <w:tc>
          <w:tcPr>
            <w:tcW w:w="1170" w:type="dxa"/>
          </w:tcPr>
          <w:p w14:paraId="1D078042" w14:textId="77777777" w:rsidR="00A32276" w:rsidRPr="000A0C8C" w:rsidRDefault="00A32276" w:rsidP="006C5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276" w:rsidRPr="000A0C8C" w14:paraId="64FE5EAC" w14:textId="77777777" w:rsidTr="00202487">
        <w:tc>
          <w:tcPr>
            <w:tcW w:w="10278" w:type="dxa"/>
          </w:tcPr>
          <w:p w14:paraId="22C71BCE" w14:textId="77777777" w:rsidR="00A32276" w:rsidRPr="000A0C8C" w:rsidRDefault="00A32276" w:rsidP="00A32276">
            <w:pPr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Telework is still encouraged when possible. </w:t>
            </w:r>
            <w:r w:rsidR="00980CEE">
              <w:rPr>
                <w:rFonts w:asciiTheme="minorHAnsi" w:hAnsiTheme="minorHAnsi" w:cstheme="minorHAnsi"/>
                <w:sz w:val="20"/>
                <w:szCs w:val="20"/>
              </w:rPr>
              <w:t>Balance it against the safety of the individual/lab vs. work needs</w:t>
            </w:r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B8268E1" w14:textId="77777777" w:rsidR="00A32276" w:rsidRPr="000A0C8C" w:rsidRDefault="00A32276" w:rsidP="006C5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276" w:rsidRPr="000A0C8C" w14:paraId="16B704C2" w14:textId="77777777" w:rsidTr="00202487">
        <w:tc>
          <w:tcPr>
            <w:tcW w:w="10278" w:type="dxa"/>
          </w:tcPr>
          <w:p w14:paraId="0D82CBA6" w14:textId="77777777" w:rsidR="00A32276" w:rsidRPr="000A0C8C" w:rsidRDefault="006B3FB7" w:rsidP="00734F46">
            <w:pPr>
              <w:pStyle w:val="ListParagraph"/>
              <w:numPr>
                <w:ilvl w:val="1"/>
                <w:numId w:val="1"/>
              </w:numPr>
              <w:ind w:left="360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</w:t>
            </w:r>
            <w:r w:rsidR="00A32276" w:rsidRPr="000A0C8C">
              <w:rPr>
                <w:rFonts w:asciiTheme="minorHAnsi" w:eastAsia="Times New Roman" w:hAnsiTheme="minorHAnsi" w:cstheme="minorHAnsi"/>
                <w:sz w:val="20"/>
                <w:szCs w:val="20"/>
              </w:rPr>
              <w:t>ollow Mayo Clinic recommendations regarding masking and social distancing while on campus</w:t>
            </w:r>
            <w:r w:rsidR="00844FA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6DCB46A4" w14:textId="77777777" w:rsidR="00A32276" w:rsidRPr="008F65FF" w:rsidRDefault="00A32276" w:rsidP="00A471D9">
            <w:pPr>
              <w:pStyle w:val="ListParagraph"/>
              <w:numPr>
                <w:ilvl w:val="2"/>
                <w:numId w:val="1"/>
              </w:numPr>
              <w:ind w:left="720"/>
              <w:contextualSpacing w:val="0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>Cloth masks can be used throughout campus an</w:t>
            </w:r>
            <w:r w:rsidR="00782A06"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d in general laboratory setting.  </w:t>
            </w:r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PLEASE MAKE SURE YOUR STAFF HAVE CLOTH MASKS BEFORE COMING TO CAMPUS </w:t>
            </w:r>
            <w:hyperlink r:id="rId7" w:history="1">
              <w:r w:rsidRPr="008F65FF">
                <w:rPr>
                  <w:rStyle w:val="Hyperlink"/>
                  <w:rFonts w:asciiTheme="minorHAnsi" w:eastAsia="Times New Roman" w:hAnsiTheme="minorHAnsi" w:cstheme="minorHAnsi"/>
                  <w:sz w:val="18"/>
                  <w:szCs w:val="20"/>
                </w:rPr>
                <w:t>https://www.cdc.gov/coronavirus/2019-ncov/prevent-getting-sick/diy-cloth-face-coverings.html</w:t>
              </w:r>
            </w:hyperlink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>)</w:t>
            </w:r>
            <w:r w:rsidR="00844FA5"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>.</w:t>
            </w:r>
          </w:p>
          <w:p w14:paraId="2A61E948" w14:textId="77777777" w:rsidR="00A32276" w:rsidRPr="008F65FF" w:rsidRDefault="00A32276" w:rsidP="00A471D9">
            <w:pPr>
              <w:pStyle w:val="ListParagraph"/>
              <w:numPr>
                <w:ilvl w:val="2"/>
                <w:numId w:val="1"/>
              </w:numPr>
              <w:ind w:left="720"/>
              <w:contextualSpacing w:val="0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Cloth masks that become potentially contaminated with hazardous biological, chemical, or radiological material during laboratory activities should be removed, replaced, and collected for decontamination. Contact </w:t>
            </w:r>
            <w:hyperlink r:id="rId8" w:history="1">
              <w:r w:rsidRPr="008F65FF">
                <w:rPr>
                  <w:rStyle w:val="Hyperlink"/>
                  <w:rFonts w:asciiTheme="minorHAnsi" w:eastAsia="Times New Roman" w:hAnsiTheme="minorHAnsi" w:cstheme="minorHAnsi"/>
                  <w:sz w:val="18"/>
                  <w:szCs w:val="20"/>
                </w:rPr>
                <w:t>biosafety@mayo.edu</w:t>
              </w:r>
            </w:hyperlink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 for additional information.</w:t>
            </w:r>
          </w:p>
          <w:p w14:paraId="093F319F" w14:textId="77777777" w:rsidR="00A32276" w:rsidRPr="008F65FF" w:rsidRDefault="00A32276" w:rsidP="00A471D9">
            <w:pPr>
              <w:pStyle w:val="ListParagraph"/>
              <w:numPr>
                <w:ilvl w:val="2"/>
                <w:numId w:val="1"/>
              </w:numPr>
              <w:ind w:left="720"/>
              <w:contextualSpacing w:val="0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>Procedural masks are required for work in a BSL2 or BSL2+ tissue culture room where social distancing recommendations cannot be achieved. Disposable procedure masks are preferred, due to the possibility of incidental contact with hazardous material.</w:t>
            </w:r>
          </w:p>
          <w:p w14:paraId="585F58A8" w14:textId="77777777" w:rsidR="00A32276" w:rsidRPr="008F65FF" w:rsidRDefault="00A32276" w:rsidP="00A471D9">
            <w:pPr>
              <w:pStyle w:val="ListParagraph"/>
              <w:numPr>
                <w:ilvl w:val="2"/>
                <w:numId w:val="1"/>
              </w:numPr>
              <w:ind w:left="720"/>
              <w:contextualSpacing w:val="0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Procedure masks that are not knowingly contaminated will be stored and reused according to Mayo Clinic IPAC recommendations found at </w:t>
            </w:r>
            <w:hyperlink r:id="rId9" w:history="1">
              <w:r w:rsidRPr="008F65FF">
                <w:rPr>
                  <w:rStyle w:val="Hyperlink"/>
                  <w:rFonts w:asciiTheme="minorHAnsi" w:eastAsia="Times New Roman" w:hAnsiTheme="minorHAnsi" w:cstheme="minorHAnsi"/>
                  <w:sz w:val="18"/>
                  <w:szCs w:val="20"/>
                  <w:lang w:val="en"/>
                </w:rPr>
                <w:t>Everyday Mask - Donning and Doffing for Reuse</w:t>
              </w:r>
            </w:hyperlink>
            <w:r w:rsidR="00844FA5" w:rsidRPr="008F65FF">
              <w:rPr>
                <w:rStyle w:val="Hyperlink"/>
                <w:rFonts w:asciiTheme="minorHAnsi" w:eastAsia="Times New Roman" w:hAnsiTheme="minorHAnsi" w:cstheme="minorHAnsi"/>
                <w:sz w:val="18"/>
                <w:szCs w:val="20"/>
                <w:lang w:val="en"/>
              </w:rPr>
              <w:t>.</w:t>
            </w:r>
          </w:p>
          <w:p w14:paraId="5CD91233" w14:textId="77777777" w:rsidR="00A32276" w:rsidRPr="00D957C6" w:rsidRDefault="00D957C6" w:rsidP="004D4DBC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Theme="minorHAnsi" w:hAnsiTheme="minorHAnsi" w:cstheme="minorHAnsi"/>
                <w:sz w:val="18"/>
                <w:szCs w:val="18"/>
              </w:rPr>
            </w:pP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Masks will be available for pick up in Rochester in two locations- one </w:t>
            </w:r>
            <w:proofErr w:type="gramStart"/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downtown</w:t>
            </w:r>
            <w:proofErr w:type="gramEnd"/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 and one at St. Marys.  Information will be sent as soon as available</w:t>
            </w:r>
            <w:r w:rsidR="00D50A14" w:rsidRPr="008F65FF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70" w:type="dxa"/>
          </w:tcPr>
          <w:p w14:paraId="0E9C2152" w14:textId="77777777" w:rsidR="00A32276" w:rsidRPr="000A0C8C" w:rsidRDefault="00A32276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276" w:rsidRPr="000A0C8C" w14:paraId="7F0D1B50" w14:textId="77777777" w:rsidTr="00202487">
        <w:tc>
          <w:tcPr>
            <w:tcW w:w="10278" w:type="dxa"/>
          </w:tcPr>
          <w:p w14:paraId="063E4246" w14:textId="77777777" w:rsidR="00980CEE" w:rsidRPr="000A0C8C" w:rsidRDefault="00A32276" w:rsidP="00782A06">
            <w:pPr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Wash hands</w:t>
            </w:r>
            <w:r w:rsidR="00980CEE">
              <w:rPr>
                <w:rFonts w:asciiTheme="minorHAnsi" w:hAnsiTheme="minorHAnsi" w:cstheme="minorHAnsi"/>
                <w:sz w:val="20"/>
                <w:szCs w:val="20"/>
              </w:rPr>
              <w:t xml:space="preserve"> or sanitize them regularly</w:t>
            </w:r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0248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05C4F">
              <w:rPr>
                <w:rFonts w:asciiTheme="minorHAnsi" w:hAnsiTheme="minorHAnsi" w:cstheme="minorHAnsi"/>
                <w:sz w:val="20"/>
                <w:szCs w:val="20"/>
              </w:rPr>
              <w:t>Avoid touching your eyes and face.</w:t>
            </w:r>
          </w:p>
        </w:tc>
        <w:tc>
          <w:tcPr>
            <w:tcW w:w="1170" w:type="dxa"/>
          </w:tcPr>
          <w:p w14:paraId="1D8128F6" w14:textId="77777777" w:rsidR="00A32276" w:rsidRPr="000A0C8C" w:rsidRDefault="00A32276" w:rsidP="006C5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276" w:rsidRPr="000A0C8C" w14:paraId="13B8AE62" w14:textId="77777777" w:rsidTr="00202487">
        <w:tc>
          <w:tcPr>
            <w:tcW w:w="10278" w:type="dxa"/>
          </w:tcPr>
          <w:p w14:paraId="34DDC3E0" w14:textId="77777777" w:rsidR="00A32276" w:rsidRPr="000A0C8C" w:rsidRDefault="00A32276" w:rsidP="00A32276">
            <w:pPr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Clean surfaces</w:t>
            </w:r>
            <w:r w:rsidR="00980CEE">
              <w:rPr>
                <w:rFonts w:asciiTheme="minorHAnsi" w:hAnsiTheme="minorHAnsi" w:cstheme="minorHAnsi"/>
                <w:sz w:val="20"/>
                <w:szCs w:val="20"/>
              </w:rPr>
              <w:t xml:space="preserve"> before and after use</w:t>
            </w:r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3AB02CEF" w14:textId="77777777" w:rsidR="00A32276" w:rsidRPr="000A0C8C" w:rsidRDefault="00A32276" w:rsidP="006C5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276" w:rsidRPr="000A0C8C" w14:paraId="4A196C7E" w14:textId="77777777" w:rsidTr="00202487">
        <w:tc>
          <w:tcPr>
            <w:tcW w:w="10278" w:type="dxa"/>
          </w:tcPr>
          <w:p w14:paraId="2F06AC1C" w14:textId="77777777" w:rsidR="00ED58FC" w:rsidRPr="000A0C8C" w:rsidRDefault="00A32276" w:rsidP="00ED58FC">
            <w:pPr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Practice social distancing</w:t>
            </w:r>
            <w:r w:rsidRPr="000A0C8C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- 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Pr="000A0C8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lab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A0C8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break</w:t>
            </w:r>
            <w:r w:rsidR="00ED58FC" w:rsidRPr="000A0C8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A0C8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rooms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0A0C8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desk/office areas.</w:t>
            </w:r>
          </w:p>
          <w:p w14:paraId="2E058517" w14:textId="77777777" w:rsidR="00A32276" w:rsidRPr="000A0C8C" w:rsidRDefault="00A32276" w:rsidP="009860C5">
            <w:pPr>
              <w:numPr>
                <w:ilvl w:val="2"/>
                <w:numId w:val="6"/>
              </w:numPr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9860C5">
              <w:rPr>
                <w:rFonts w:asciiTheme="minorHAnsi" w:hAnsiTheme="minorHAnsi" w:cstheme="minorHAnsi"/>
                <w:sz w:val="18"/>
                <w:szCs w:val="20"/>
              </w:rPr>
              <w:t>Mask</w:t>
            </w:r>
            <w:r w:rsidR="00ED58FC" w:rsidRPr="009860C5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9860C5">
              <w:rPr>
                <w:rFonts w:asciiTheme="minorHAnsi" w:hAnsiTheme="minorHAnsi" w:cstheme="minorHAnsi"/>
                <w:sz w:val="18"/>
                <w:szCs w:val="20"/>
              </w:rPr>
              <w:t xml:space="preserve"> are required </w:t>
            </w:r>
            <w:r w:rsidR="00ED58FC" w:rsidRPr="009860C5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 w:rsidRPr="009860C5">
              <w:rPr>
                <w:rFonts w:asciiTheme="minorHAnsi" w:hAnsiTheme="minorHAnsi" w:cstheme="minorHAnsi"/>
                <w:sz w:val="18"/>
                <w:szCs w:val="20"/>
              </w:rPr>
              <w:t>f social distancing cannot be accomplished.</w:t>
            </w:r>
          </w:p>
        </w:tc>
        <w:tc>
          <w:tcPr>
            <w:tcW w:w="1170" w:type="dxa"/>
          </w:tcPr>
          <w:p w14:paraId="24CF91CF" w14:textId="77777777" w:rsidR="00A32276" w:rsidRPr="000A0C8C" w:rsidRDefault="00A32276" w:rsidP="006C5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DA0" w:rsidRPr="000A0C8C" w14:paraId="35D2E26F" w14:textId="77777777" w:rsidTr="00202487">
        <w:tc>
          <w:tcPr>
            <w:tcW w:w="10278" w:type="dxa"/>
          </w:tcPr>
          <w:p w14:paraId="4C6403C0" w14:textId="77777777" w:rsidR="00991DA0" w:rsidRPr="000A0C8C" w:rsidRDefault="00991DA0" w:rsidP="00331324">
            <w:pPr>
              <w:pStyle w:val="ListParagraph"/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Create a lab social distance </w:t>
            </w:r>
            <w:hyperlink r:id="rId10" w:history="1">
              <w:r w:rsidRPr="0033132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plan</w:t>
              </w:r>
            </w:hyperlink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33F0BEC2" w14:textId="77777777" w:rsidR="00991DA0" w:rsidRPr="000A0C8C" w:rsidRDefault="00991DA0" w:rsidP="009B1A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F2C" w:rsidRPr="000A0C8C" w14:paraId="7A2BD444" w14:textId="77777777" w:rsidTr="00202487">
        <w:tc>
          <w:tcPr>
            <w:tcW w:w="10278" w:type="dxa"/>
          </w:tcPr>
          <w:p w14:paraId="76457A83" w14:textId="77777777" w:rsidR="00952F2C" w:rsidRPr="000A0C8C" w:rsidRDefault="00952F2C" w:rsidP="00C60CCF">
            <w:pPr>
              <w:pStyle w:val="ListParagraph"/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Follow all usual safety measures for working with mice, chemicals and reagents.</w:t>
            </w:r>
          </w:p>
        </w:tc>
        <w:tc>
          <w:tcPr>
            <w:tcW w:w="1170" w:type="dxa"/>
          </w:tcPr>
          <w:p w14:paraId="6279EAA6" w14:textId="77777777" w:rsidR="00952F2C" w:rsidRPr="000A0C8C" w:rsidRDefault="00952F2C" w:rsidP="00C60C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329" w:rsidRPr="004E3329" w14:paraId="5880B1B0" w14:textId="77777777" w:rsidTr="00202487">
        <w:tc>
          <w:tcPr>
            <w:tcW w:w="10278" w:type="dxa"/>
          </w:tcPr>
          <w:p w14:paraId="7E7B3F78" w14:textId="77777777" w:rsidR="004E3329" w:rsidRPr="004E3329" w:rsidRDefault="004E3329" w:rsidP="004E3329">
            <w:pPr>
              <w:pStyle w:val="ListParagraph"/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E3329">
              <w:rPr>
                <w:rFonts w:asciiTheme="minorHAnsi" w:hAnsiTheme="minorHAnsi" w:cstheme="minorHAnsi"/>
                <w:sz w:val="20"/>
                <w:szCs w:val="20"/>
              </w:rPr>
              <w:t>When done with wet-lab work for the day – consider going home for desk work rather than doing desk work on the floor (particularly for shared/common desk space)</w:t>
            </w:r>
            <w:r w:rsidR="00524F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93EC7B8" w14:textId="77777777" w:rsidR="004E3329" w:rsidRPr="004E3329" w:rsidRDefault="004E3329" w:rsidP="00C60C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52F2C" w:rsidRPr="00952F2C" w14:paraId="7B679D7F" w14:textId="77777777" w:rsidTr="00202487">
        <w:tc>
          <w:tcPr>
            <w:tcW w:w="10278" w:type="dxa"/>
          </w:tcPr>
          <w:p w14:paraId="5C2D9097" w14:textId="77777777" w:rsidR="00952F2C" w:rsidRDefault="00952F2C" w:rsidP="00952F2C">
            <w:pPr>
              <w:pStyle w:val="ListParagraph"/>
              <w:numPr>
                <w:ilvl w:val="1"/>
                <w:numId w:val="1"/>
              </w:numPr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2F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possible, avoid wo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rking alone in the laboratory.</w:t>
            </w:r>
          </w:p>
          <w:p w14:paraId="5B10E106" w14:textId="77777777" w:rsidR="00952F2C" w:rsidRPr="008F65FF" w:rsidRDefault="00952F2C" w:rsidP="00952F2C">
            <w:pPr>
              <w:pStyle w:val="ListParagraph"/>
              <w:numPr>
                <w:ilvl w:val="2"/>
                <w:numId w:val="1"/>
              </w:numPr>
              <w:ind w:left="720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Laboratory personnel working autonomously or performing independent research are responsible for notifying their supervisor in advance that they are working alone.</w:t>
            </w:r>
          </w:p>
          <w:p w14:paraId="319579CC" w14:textId="77777777" w:rsidR="00952F2C" w:rsidRPr="00952F2C" w:rsidRDefault="00952F2C" w:rsidP="001A271B">
            <w:pPr>
              <w:pStyle w:val="ListParagraph"/>
              <w:numPr>
                <w:ilvl w:val="2"/>
                <w:numId w:val="1"/>
              </w:numPr>
              <w:ind w:left="7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Do not work alone or leave operations unattended when using extremely hazardous materials, </w:t>
            </w:r>
            <w:r w:rsidR="00ED5A4B"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hazardous </w:t>
            </w:r>
            <w:r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procedures, or </w:t>
            </w:r>
            <w:r w:rsidR="00ED5A4B"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hazardous </w:t>
            </w:r>
            <w:r w:rsidRPr="008F65F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equipment.</w:t>
            </w:r>
          </w:p>
        </w:tc>
        <w:tc>
          <w:tcPr>
            <w:tcW w:w="1170" w:type="dxa"/>
          </w:tcPr>
          <w:p w14:paraId="4E6E600C" w14:textId="77777777" w:rsidR="00952F2C" w:rsidRPr="00952F2C" w:rsidRDefault="00952F2C" w:rsidP="00C60C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27A88" w:rsidRPr="000A0C8C" w14:paraId="21CC0188" w14:textId="77777777" w:rsidTr="00202487">
        <w:tc>
          <w:tcPr>
            <w:tcW w:w="102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121BFA" w14:textId="77777777" w:rsidR="00827A88" w:rsidRPr="000A0C8C" w:rsidRDefault="00827A88" w:rsidP="00827A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Respect and Stewardship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835FD" w14:textId="77777777" w:rsidR="00827A88" w:rsidRPr="000A0C8C" w:rsidRDefault="00827A88" w:rsidP="000648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Assessed</w:t>
            </w:r>
          </w:p>
        </w:tc>
      </w:tr>
      <w:tr w:rsidR="00827A88" w:rsidRPr="000A0C8C" w14:paraId="4C0C1DC7" w14:textId="77777777" w:rsidTr="00202487">
        <w:tc>
          <w:tcPr>
            <w:tcW w:w="10278" w:type="dxa"/>
            <w:shd w:val="clear" w:color="auto" w:fill="auto"/>
          </w:tcPr>
          <w:p w14:paraId="2A6370FC" w14:textId="77777777" w:rsidR="00827A88" w:rsidRPr="000A0C8C" w:rsidRDefault="00827A88" w:rsidP="00827A88">
            <w:pPr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Sign up for staggered shifts and stick to them</w:t>
            </w:r>
            <w:r w:rsidR="00980CEE">
              <w:rPr>
                <w:rFonts w:asciiTheme="minorHAnsi" w:hAnsiTheme="minorHAnsi" w:cstheme="minorHAnsi"/>
                <w:sz w:val="20"/>
                <w:szCs w:val="20"/>
              </w:rPr>
              <w:t xml:space="preserve"> as best as you can</w:t>
            </w:r>
            <w:r w:rsidR="00991D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23E53" w14:textId="77777777" w:rsidR="00827A88" w:rsidRPr="008F65FF" w:rsidRDefault="00A471D9" w:rsidP="00782A06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8F65FF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hyperlink r:id="rId11" w:history="1">
              <w:r w:rsidR="00A8208F" w:rsidRPr="008F65FF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calendar template</w:t>
              </w:r>
            </w:hyperlink>
            <w:r w:rsidR="00827A88" w:rsidRPr="008F6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F65FF">
              <w:rPr>
                <w:rFonts w:asciiTheme="minorHAnsi" w:hAnsiTheme="minorHAnsi" w:cstheme="minorHAnsi"/>
                <w:sz w:val="18"/>
                <w:szCs w:val="18"/>
              </w:rPr>
              <w:t xml:space="preserve">can </w:t>
            </w:r>
            <w:r w:rsidR="00827A88" w:rsidRPr="008F65FF">
              <w:rPr>
                <w:rFonts w:asciiTheme="minorHAnsi" w:hAnsiTheme="minorHAnsi" w:cstheme="minorHAnsi"/>
                <w:sz w:val="18"/>
                <w:szCs w:val="18"/>
              </w:rPr>
              <w:t xml:space="preserve">be used for </w:t>
            </w:r>
            <w:r w:rsidR="00A8208F" w:rsidRPr="008F65FF">
              <w:rPr>
                <w:rFonts w:asciiTheme="minorHAnsi" w:hAnsiTheme="minorHAnsi" w:cstheme="minorHAnsi"/>
                <w:sz w:val="18"/>
                <w:szCs w:val="18"/>
              </w:rPr>
              <w:t>scheduling shifts</w:t>
            </w:r>
            <w:r w:rsidR="00844FA5" w:rsidRPr="008F65F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F4DDAA2" w14:textId="77777777" w:rsidR="00980CEE" w:rsidRPr="000A0C8C" w:rsidRDefault="00980CEE" w:rsidP="00782A06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F65FF">
              <w:rPr>
                <w:rFonts w:asciiTheme="minorHAnsi" w:hAnsiTheme="minorHAnsi" w:cstheme="minorHAnsi"/>
                <w:sz w:val="18"/>
                <w:szCs w:val="18"/>
              </w:rPr>
              <w:t>For laboratories working with LabGuru, consider using the LabGuru Calendar</w:t>
            </w:r>
            <w:r w:rsidR="00844FA5" w:rsidRPr="008F65F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28C94295" w14:textId="77777777" w:rsidR="00827A88" w:rsidRPr="000A0C8C" w:rsidRDefault="00827A88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7A88" w:rsidRPr="000A0C8C" w14:paraId="228127DF" w14:textId="77777777" w:rsidTr="00202487">
        <w:tc>
          <w:tcPr>
            <w:tcW w:w="10278" w:type="dxa"/>
            <w:shd w:val="clear" w:color="auto" w:fill="auto"/>
          </w:tcPr>
          <w:p w14:paraId="07DF385C" w14:textId="77777777" w:rsidR="00827A88" w:rsidRPr="000A0C8C" w:rsidRDefault="00827A88" w:rsidP="00827A88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Clean up your work areas (don’t expect someone to clean up after or before you)</w:t>
            </w:r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1981C577" w14:textId="77777777" w:rsidR="00827A88" w:rsidRPr="000A0C8C" w:rsidRDefault="00827A88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7A88" w:rsidRPr="000A0C8C" w14:paraId="4788CEDF" w14:textId="77777777" w:rsidTr="00202487">
        <w:tc>
          <w:tcPr>
            <w:tcW w:w="10278" w:type="dxa"/>
            <w:shd w:val="clear" w:color="auto" w:fill="auto"/>
          </w:tcPr>
          <w:p w14:paraId="4FE34DFC" w14:textId="77777777" w:rsidR="00827A88" w:rsidRPr="000A0C8C" w:rsidRDefault="00827A88" w:rsidP="00827A88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Be considerate of others</w:t>
            </w:r>
            <w:r w:rsidR="0084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338A52" w14:textId="77777777" w:rsidR="00827A88" w:rsidRPr="008F65FF" w:rsidRDefault="009F31E8" w:rsidP="00A471D9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Encourage and </w:t>
            </w:r>
            <w:r w:rsidR="00827A88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help colleagues who are coughing or displaying other symptoms 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obtain an </w:t>
            </w:r>
            <w:r w:rsidR="00827A88" w:rsidRPr="008F65FF">
              <w:rPr>
                <w:rFonts w:asciiTheme="minorHAnsi" w:hAnsiTheme="minorHAnsi" w:cstheme="minorHAnsi"/>
                <w:sz w:val="18"/>
                <w:szCs w:val="20"/>
              </w:rPr>
              <w:t>appointment with Occ</w:t>
            </w:r>
            <w:r w:rsidR="00C56C29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upational </w:t>
            </w:r>
            <w:r w:rsidR="00827A88" w:rsidRPr="008F65FF">
              <w:rPr>
                <w:rFonts w:asciiTheme="minorHAnsi" w:hAnsiTheme="minorHAnsi" w:cstheme="minorHAnsi"/>
                <w:sz w:val="18"/>
                <w:szCs w:val="20"/>
              </w:rPr>
              <w:t>Health</w:t>
            </w:r>
            <w:r w:rsidR="00844FA5" w:rsidRPr="008F65FF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p w14:paraId="7A4E5A74" w14:textId="77777777" w:rsidR="00827A88" w:rsidRPr="008F65FF" w:rsidRDefault="00827A88" w:rsidP="00A471D9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Understand that you may not know what</w:t>
            </w:r>
            <w:r w:rsidR="008F548C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267CE7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people 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are going through.  </w:t>
            </w:r>
            <w:r w:rsidR="002647B0" w:rsidRPr="008F65FF">
              <w:rPr>
                <w:rFonts w:asciiTheme="minorHAnsi" w:hAnsiTheme="minorHAnsi" w:cstheme="minorHAnsi"/>
                <w:sz w:val="18"/>
                <w:szCs w:val="20"/>
              </w:rPr>
              <w:t>Staff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 might be living with someone who is immune-compromised, sick, or at high risk</w:t>
            </w:r>
            <w:r w:rsidR="002647B0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; taking 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care of children because schools are closed</w:t>
            </w:r>
            <w:r w:rsidR="002647B0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; or 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writing or working from home. Help </w:t>
            </w:r>
            <w:r w:rsidR="00267CE7" w:rsidRPr="008F65FF">
              <w:rPr>
                <w:rFonts w:asciiTheme="minorHAnsi" w:hAnsiTheme="minorHAnsi" w:cstheme="minorHAnsi"/>
                <w:sz w:val="18"/>
                <w:szCs w:val="20"/>
              </w:rPr>
              <w:t xml:space="preserve">staff and </w:t>
            </w: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remember that you might need their help in the future.</w:t>
            </w:r>
          </w:p>
          <w:p w14:paraId="2AF11F36" w14:textId="77777777" w:rsidR="00827A88" w:rsidRPr="008F65FF" w:rsidRDefault="00827A88" w:rsidP="00A471D9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18"/>
                <w:szCs w:val="20"/>
              </w:rPr>
            </w:pP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Be grateful that you can work in the lab.</w:t>
            </w:r>
          </w:p>
          <w:p w14:paraId="7F4712E3" w14:textId="77777777" w:rsidR="00782A06" w:rsidRPr="000A0C8C" w:rsidRDefault="00782A06" w:rsidP="00A471D9">
            <w:pPr>
              <w:numPr>
                <w:ilvl w:val="2"/>
                <w:numId w:val="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F65FF">
              <w:rPr>
                <w:rFonts w:asciiTheme="minorHAnsi" w:hAnsiTheme="minorHAnsi" w:cstheme="minorHAnsi"/>
                <w:sz w:val="18"/>
                <w:szCs w:val="20"/>
              </w:rPr>
              <w:t>Be mutually respectful in communicating concerns you have with your co-workers’ behavior or practices regarding adherence to the safety guidelines.</w:t>
            </w:r>
          </w:p>
        </w:tc>
        <w:tc>
          <w:tcPr>
            <w:tcW w:w="1170" w:type="dxa"/>
            <w:shd w:val="clear" w:color="auto" w:fill="auto"/>
          </w:tcPr>
          <w:p w14:paraId="64AC781D" w14:textId="77777777" w:rsidR="00827A88" w:rsidRPr="000A0C8C" w:rsidRDefault="00827A88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7A88" w:rsidRPr="000A0C8C" w14:paraId="2CF6FBA5" w14:textId="77777777" w:rsidTr="00202487">
        <w:tc>
          <w:tcPr>
            <w:tcW w:w="10278" w:type="dxa"/>
            <w:shd w:val="clear" w:color="auto" w:fill="auto"/>
          </w:tcPr>
          <w:p w14:paraId="66750EC9" w14:textId="77777777" w:rsidR="00827A88" w:rsidRPr="000A0C8C" w:rsidRDefault="00827A88" w:rsidP="00827A88">
            <w:pPr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Be as forthcoming with your own situation as possible.</w:t>
            </w:r>
            <w:r w:rsidR="00782A06">
              <w:rPr>
                <w:rFonts w:asciiTheme="minorHAnsi" w:hAnsiTheme="minorHAnsi" w:cstheme="minorHAnsi"/>
                <w:sz w:val="20"/>
                <w:szCs w:val="20"/>
              </w:rPr>
              <w:t xml:space="preserve">  Everyone has a role in reducing risk of transmission.</w:t>
            </w:r>
          </w:p>
        </w:tc>
        <w:tc>
          <w:tcPr>
            <w:tcW w:w="1170" w:type="dxa"/>
            <w:shd w:val="clear" w:color="auto" w:fill="auto"/>
          </w:tcPr>
          <w:p w14:paraId="33C523B1" w14:textId="77777777" w:rsidR="00827A88" w:rsidRPr="000A0C8C" w:rsidRDefault="00827A88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7A88" w:rsidRPr="000A0C8C" w14:paraId="4959D4E3" w14:textId="77777777" w:rsidTr="00202487">
        <w:tc>
          <w:tcPr>
            <w:tcW w:w="10278" w:type="dxa"/>
            <w:shd w:val="clear" w:color="auto" w:fill="auto"/>
          </w:tcPr>
          <w:p w14:paraId="1A20A137" w14:textId="77777777" w:rsidR="00827A88" w:rsidRPr="00596EF5" w:rsidRDefault="001A3EC0" w:rsidP="004C6972">
            <w:pPr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Stick to the safety rules.  </w:t>
            </w:r>
            <w:r w:rsidRPr="001A3EC0">
              <w:rPr>
                <w:rFonts w:asciiTheme="minorHAnsi" w:hAnsiTheme="minorHAnsi" w:cstheme="minorHAnsi"/>
                <w:sz w:val="20"/>
                <w:szCs w:val="20"/>
              </w:rPr>
              <w:t>As long as everyone is wearing masks, washing hands, working shifts and practicing social distancing</w:t>
            </w:r>
            <w:r w:rsidR="00602EB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02EB2" w:rsidRPr="00596EF5">
              <w:rPr>
                <w:rFonts w:asciiTheme="minorHAnsi" w:hAnsiTheme="minorHAnsi" w:cstheme="minorHAnsi"/>
                <w:sz w:val="20"/>
                <w:szCs w:val="20"/>
              </w:rPr>
              <w:t>we can create an environment where risk of transmission can be reduced</w:t>
            </w:r>
            <w:r w:rsidR="004C69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70D57E43" w14:textId="77777777" w:rsidR="00827A88" w:rsidRPr="000A0C8C" w:rsidRDefault="00827A88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C29" w:rsidRPr="000A0C8C" w14:paraId="03FC7BF8" w14:textId="77777777" w:rsidTr="00202487">
        <w:tc>
          <w:tcPr>
            <w:tcW w:w="102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48EEBF" w14:textId="77777777" w:rsidR="00C56C29" w:rsidRPr="000A0C8C" w:rsidRDefault="009F3301" w:rsidP="00C56C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Operations </w:t>
            </w:r>
            <w:r w:rsidR="00C56C29"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Considerations / Collaborative Partners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BC68B" w14:textId="77777777" w:rsidR="00C56C29" w:rsidRPr="000A0C8C" w:rsidRDefault="00C56C29" w:rsidP="000648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b/>
                <w:sz w:val="20"/>
                <w:szCs w:val="20"/>
              </w:rPr>
              <w:t>Assessed</w:t>
            </w:r>
          </w:p>
        </w:tc>
      </w:tr>
      <w:tr w:rsidR="00C56C29" w:rsidRPr="000A0C8C" w14:paraId="5C2DE9EB" w14:textId="77777777" w:rsidTr="00202487">
        <w:tc>
          <w:tcPr>
            <w:tcW w:w="10278" w:type="dxa"/>
            <w:shd w:val="clear" w:color="auto" w:fill="auto"/>
          </w:tcPr>
          <w:p w14:paraId="082C98C9" w14:textId="77777777" w:rsidR="0095108F" w:rsidRDefault="0095108F" w:rsidP="00F1090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Mayo has established protocols for contact tracing for employees diagnosed with COVID-19.  Notifications will be made to staff where there has been a potential exposure, while maintaining patient confidentiality.</w:t>
            </w:r>
          </w:p>
          <w:p w14:paraId="31EE19A2" w14:textId="77777777" w:rsidR="00822794" w:rsidRDefault="00C56C29" w:rsidP="00822794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As labs return to more normal operation</w:t>
            </w:r>
            <w:r w:rsidR="00F10906" w:rsidRPr="000A0C8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A0C8C">
              <w:rPr>
                <w:rFonts w:asciiTheme="minorHAnsi" w:hAnsiTheme="minorHAnsi" w:cstheme="minorHAnsi"/>
                <w:sz w:val="20"/>
                <w:szCs w:val="20"/>
              </w:rPr>
              <w:t>, ensure you are connecting with partners for whom you require collaboration to conduct laboratory activities.</w:t>
            </w:r>
            <w:r w:rsidR="003607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5A21B0" w14:textId="77777777" w:rsidR="00822794" w:rsidRPr="00822794" w:rsidRDefault="00822794" w:rsidP="00822794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22794">
              <w:rPr>
                <w:rFonts w:asciiTheme="minorHAnsi" w:hAnsiTheme="minorHAnsi" w:cstheme="minorHAnsi"/>
                <w:sz w:val="20"/>
                <w:szCs w:val="20"/>
              </w:rPr>
              <w:t xml:space="preserve">Each </w:t>
            </w:r>
            <w:r w:rsidR="003151D2">
              <w:rPr>
                <w:rFonts w:asciiTheme="minorHAnsi" w:hAnsiTheme="minorHAnsi" w:cstheme="minorHAnsi"/>
                <w:sz w:val="20"/>
                <w:szCs w:val="20"/>
              </w:rPr>
              <w:t>partner</w:t>
            </w:r>
            <w:r w:rsidRPr="00822794">
              <w:rPr>
                <w:rFonts w:asciiTheme="minorHAnsi" w:hAnsiTheme="minorHAnsi" w:cstheme="minorHAnsi"/>
                <w:sz w:val="20"/>
                <w:szCs w:val="20"/>
              </w:rPr>
              <w:t xml:space="preserve"> may have a different ramp up timeline.  Do not assume that all are moving at the same speed.  Connect and confirm availability of staff and services to complete laboratory activities.</w:t>
            </w:r>
          </w:p>
          <w:p w14:paraId="1ACB1B81" w14:textId="77777777" w:rsidR="00534420" w:rsidRPr="00A34E58" w:rsidRDefault="00360776" w:rsidP="00822794">
            <w:pPr>
              <w:pStyle w:val="ListParagraph"/>
              <w:numPr>
                <w:ilvl w:val="1"/>
                <w:numId w:val="7"/>
              </w:num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A34E58">
              <w:rPr>
                <w:rFonts w:asciiTheme="minorHAnsi" w:hAnsiTheme="minorHAnsi" w:cstheme="minorHAnsi"/>
                <w:b/>
                <w:sz w:val="18"/>
                <w:szCs w:val="18"/>
              </w:rPr>
              <w:t>Partners:</w:t>
            </w:r>
            <w:r w:rsidRPr="00A34E58">
              <w:rPr>
                <w:rFonts w:asciiTheme="minorHAnsi" w:hAnsiTheme="minorHAnsi" w:cstheme="minorHAnsi"/>
                <w:sz w:val="18"/>
                <w:szCs w:val="18"/>
              </w:rPr>
              <w:t xml:space="preserve"> Research Cores, Animal Practice, Cell Cultures, Access to Technology, Support Services (Finance/OSPA/IRB)</w:t>
            </w:r>
          </w:p>
        </w:tc>
        <w:tc>
          <w:tcPr>
            <w:tcW w:w="1170" w:type="dxa"/>
            <w:shd w:val="clear" w:color="auto" w:fill="auto"/>
          </w:tcPr>
          <w:p w14:paraId="7CEAF109" w14:textId="77777777" w:rsidR="00C56C29" w:rsidRPr="000A0C8C" w:rsidRDefault="00C56C29" w:rsidP="00734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73BBC1" w14:textId="77777777" w:rsidR="004E3329" w:rsidRPr="009C5026" w:rsidRDefault="004E3329" w:rsidP="000A2D0D">
      <w:pPr>
        <w:rPr>
          <w:rFonts w:asciiTheme="minorHAnsi" w:hAnsiTheme="minorHAnsi" w:cstheme="minorHAnsi"/>
          <w:sz w:val="8"/>
          <w:szCs w:val="20"/>
        </w:rPr>
      </w:pPr>
    </w:p>
    <w:sectPr w:rsidR="004E3329" w:rsidRPr="009C5026" w:rsidSect="006B5B16">
      <w:pgSz w:w="12240" w:h="15840"/>
      <w:pgMar w:top="576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2086"/>
    <w:multiLevelType w:val="multilevel"/>
    <w:tmpl w:val="FF82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5629F"/>
    <w:multiLevelType w:val="hybridMultilevel"/>
    <w:tmpl w:val="A148B59C"/>
    <w:lvl w:ilvl="0" w:tplc="B57CE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40D59"/>
    <w:multiLevelType w:val="multilevel"/>
    <w:tmpl w:val="AF92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C2031"/>
    <w:multiLevelType w:val="multilevel"/>
    <w:tmpl w:val="39D27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A198C"/>
    <w:multiLevelType w:val="multilevel"/>
    <w:tmpl w:val="FF82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F5CA3"/>
    <w:multiLevelType w:val="hybridMultilevel"/>
    <w:tmpl w:val="A5727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A4A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196"/>
    <w:multiLevelType w:val="hybridMultilevel"/>
    <w:tmpl w:val="2A8E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33849"/>
    <w:multiLevelType w:val="multilevel"/>
    <w:tmpl w:val="C11E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C1"/>
    <w:rsid w:val="000648DF"/>
    <w:rsid w:val="000A0C8C"/>
    <w:rsid w:val="000A2D0D"/>
    <w:rsid w:val="0014535B"/>
    <w:rsid w:val="0018042A"/>
    <w:rsid w:val="001A271B"/>
    <w:rsid w:val="001A3EC0"/>
    <w:rsid w:val="00202487"/>
    <w:rsid w:val="002441A2"/>
    <w:rsid w:val="002647B0"/>
    <w:rsid w:val="00267CE7"/>
    <w:rsid w:val="002763C0"/>
    <w:rsid w:val="00284EFB"/>
    <w:rsid w:val="003151D2"/>
    <w:rsid w:val="00321185"/>
    <w:rsid w:val="00331324"/>
    <w:rsid w:val="00360776"/>
    <w:rsid w:val="003E3454"/>
    <w:rsid w:val="004066CC"/>
    <w:rsid w:val="0044208F"/>
    <w:rsid w:val="0044209B"/>
    <w:rsid w:val="004828A5"/>
    <w:rsid w:val="004C6972"/>
    <w:rsid w:val="004D4DBC"/>
    <w:rsid w:val="004E3329"/>
    <w:rsid w:val="00520F0D"/>
    <w:rsid w:val="00524FB0"/>
    <w:rsid w:val="0052593C"/>
    <w:rsid w:val="00534420"/>
    <w:rsid w:val="00596EF5"/>
    <w:rsid w:val="005A643A"/>
    <w:rsid w:val="00602EB2"/>
    <w:rsid w:val="006709E8"/>
    <w:rsid w:val="006A081A"/>
    <w:rsid w:val="006B3FB7"/>
    <w:rsid w:val="006B5B16"/>
    <w:rsid w:val="006C50C1"/>
    <w:rsid w:val="00712428"/>
    <w:rsid w:val="00782A06"/>
    <w:rsid w:val="007A71FC"/>
    <w:rsid w:val="007D5EC6"/>
    <w:rsid w:val="00822794"/>
    <w:rsid w:val="00827A88"/>
    <w:rsid w:val="00844FA5"/>
    <w:rsid w:val="00886EBD"/>
    <w:rsid w:val="008E0DA4"/>
    <w:rsid w:val="008F548C"/>
    <w:rsid w:val="008F65FF"/>
    <w:rsid w:val="0095108F"/>
    <w:rsid w:val="00952F2C"/>
    <w:rsid w:val="00980CEE"/>
    <w:rsid w:val="009860C5"/>
    <w:rsid w:val="00991DA0"/>
    <w:rsid w:val="009C5026"/>
    <w:rsid w:val="009F31E8"/>
    <w:rsid w:val="009F3301"/>
    <w:rsid w:val="00A32276"/>
    <w:rsid w:val="00A34E58"/>
    <w:rsid w:val="00A471D9"/>
    <w:rsid w:val="00A53F65"/>
    <w:rsid w:val="00A8208F"/>
    <w:rsid w:val="00B05C4F"/>
    <w:rsid w:val="00B12453"/>
    <w:rsid w:val="00B94A67"/>
    <w:rsid w:val="00C56C29"/>
    <w:rsid w:val="00D4092E"/>
    <w:rsid w:val="00D50A14"/>
    <w:rsid w:val="00D520AD"/>
    <w:rsid w:val="00D85A2B"/>
    <w:rsid w:val="00D957C6"/>
    <w:rsid w:val="00E75881"/>
    <w:rsid w:val="00EA46EF"/>
    <w:rsid w:val="00ED58FC"/>
    <w:rsid w:val="00ED5A4B"/>
    <w:rsid w:val="00ED6BEE"/>
    <w:rsid w:val="00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0C17"/>
  <w15:docId w15:val="{8660AC6F-44A3-4362-B5DB-EADDE71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0C1"/>
    <w:pPr>
      <w:ind w:left="720"/>
      <w:contextualSpacing/>
    </w:pPr>
    <w:rPr>
      <w:rFonts w:eastAsia="MS Mincho"/>
      <w:lang w:eastAsia="ja-JP"/>
    </w:rPr>
  </w:style>
  <w:style w:type="character" w:styleId="Hyperlink">
    <w:name w:val="Hyperlink"/>
    <w:uiPriority w:val="99"/>
    <w:unhideWhenUsed/>
    <w:rsid w:val="006C50C1"/>
    <w:rPr>
      <w:color w:val="0000FF"/>
      <w:u w:val="single"/>
    </w:rPr>
  </w:style>
  <w:style w:type="table" w:styleId="TableGrid">
    <w:name w:val="Table Grid"/>
    <w:basedOn w:val="TableNormal"/>
    <w:uiPriority w:val="59"/>
    <w:rsid w:val="00A3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82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0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0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71D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91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ntranet.mayo.edu/charlie/office-clinical-trials/files/2020/04/Copy-of-Lab-Schedule.xlsx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cdc.gov/coronavirus/2019-ncov/prevent-getting-sick/diy-cloth-face-coverings.html" TargetMode="External"/><Relationship Id="rId8" Type="http://schemas.openxmlformats.org/officeDocument/2006/relationships/hyperlink" Target="mailto:biosafety@mayo.edu" TargetMode="External"/><Relationship Id="rId9" Type="http://schemas.openxmlformats.org/officeDocument/2006/relationships/hyperlink" Target="https://videoexchange.mayo.edu/media/Donning+and+Doffing+a+Mask+with+Intent+to+Reuse/1_rryow58z" TargetMode="External"/><Relationship Id="rId10" Type="http://schemas.openxmlformats.org/officeDocument/2006/relationships/hyperlink" Target="http://intranet.mayo.edu/charlie/office-clinical-trials/files/2020/04/Lab_Social-Distance-Pl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1CC5-09EE-C34D-B993-4CCD204A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Linda J., M.S.</dc:creator>
  <cp:lastModifiedBy>Microsoft Office User</cp:lastModifiedBy>
  <cp:revision>2</cp:revision>
  <dcterms:created xsi:type="dcterms:W3CDTF">2020-04-21T18:38:00Z</dcterms:created>
  <dcterms:modified xsi:type="dcterms:W3CDTF">2020-04-21T18:38:00Z</dcterms:modified>
</cp:coreProperties>
</file>