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E5" w:rsidRDefault="008A21E5" w:rsidP="000471E9">
      <w:pPr>
        <w:rPr>
          <w:noProof/>
        </w:rPr>
      </w:pPr>
      <w:r>
        <w:rPr>
          <w:noProof/>
        </w:rPr>
        <w:drawing>
          <wp:anchor distT="0" distB="0" distL="114300" distR="114300" simplePos="0" relativeHeight="251658240" behindDoc="0" locked="0" layoutInCell="1" allowOverlap="1" wp14:anchorId="325C9EBE">
            <wp:simplePos x="0" y="0"/>
            <wp:positionH relativeFrom="margin">
              <wp:align>center</wp:align>
            </wp:positionH>
            <wp:positionV relativeFrom="paragraph">
              <wp:align>top</wp:align>
            </wp:positionV>
            <wp:extent cx="4005943" cy="1749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9052" r="16032"/>
                    <a:stretch/>
                  </pic:blipFill>
                  <pic:spPr bwMode="auto">
                    <a:xfrm>
                      <a:off x="0" y="0"/>
                      <a:ext cx="4005943" cy="1749425"/>
                    </a:xfrm>
                    <a:prstGeom prst="rect">
                      <a:avLst/>
                    </a:prstGeom>
                    <a:ln>
                      <a:noFill/>
                    </a:ln>
                    <a:extLst>
                      <a:ext uri="{53640926-AAD7-44D8-BBD7-CCE9431645EC}">
                        <a14:shadowObscured xmlns:a14="http://schemas.microsoft.com/office/drawing/2010/main"/>
                      </a:ext>
                    </a:extLst>
                  </pic:spPr>
                </pic:pic>
              </a:graphicData>
            </a:graphic>
          </wp:anchor>
        </w:drawing>
      </w:r>
      <w:r w:rsidR="006E54CB">
        <w:rPr>
          <w:noProof/>
        </w:rPr>
        <w:br w:type="textWrapping" w:clear="all"/>
      </w:r>
    </w:p>
    <w:p w:rsidR="009C3D9E" w:rsidRPr="008B7E7B" w:rsidRDefault="009C3D9E" w:rsidP="009C3D9E">
      <w:pPr>
        <w:jc w:val="center"/>
        <w:rPr>
          <w:b/>
          <w:sz w:val="24"/>
          <w:szCs w:val="24"/>
        </w:rPr>
      </w:pPr>
      <w:r w:rsidRPr="008B7E7B">
        <w:rPr>
          <w:b/>
          <w:sz w:val="24"/>
          <w:szCs w:val="24"/>
        </w:rPr>
        <w:t>Department of Navy</w:t>
      </w:r>
      <w:r>
        <w:rPr>
          <w:b/>
          <w:sz w:val="24"/>
          <w:szCs w:val="24"/>
        </w:rPr>
        <w:t>’s (</w:t>
      </w:r>
      <w:proofErr w:type="spellStart"/>
      <w:r>
        <w:rPr>
          <w:b/>
          <w:sz w:val="24"/>
          <w:szCs w:val="24"/>
        </w:rPr>
        <w:t>DoN</w:t>
      </w:r>
      <w:proofErr w:type="spellEnd"/>
      <w:r>
        <w:rPr>
          <w:b/>
          <w:sz w:val="24"/>
          <w:szCs w:val="24"/>
        </w:rPr>
        <w:t>)</w:t>
      </w:r>
      <w:r w:rsidRPr="008B7E7B">
        <w:rPr>
          <w:b/>
          <w:sz w:val="24"/>
          <w:szCs w:val="24"/>
        </w:rPr>
        <w:t xml:space="preserve"> </w:t>
      </w:r>
    </w:p>
    <w:p w:rsidR="009C3D9E" w:rsidRDefault="009C3D9E" w:rsidP="009C3D9E">
      <w:pPr>
        <w:jc w:val="center"/>
        <w:rPr>
          <w:b/>
          <w:sz w:val="24"/>
          <w:szCs w:val="24"/>
        </w:rPr>
      </w:pPr>
      <w:r w:rsidRPr="008B7E7B">
        <w:rPr>
          <w:b/>
          <w:sz w:val="24"/>
          <w:szCs w:val="24"/>
        </w:rPr>
        <w:t>Historically Black Colleges Universities</w:t>
      </w:r>
      <w:r>
        <w:rPr>
          <w:b/>
          <w:sz w:val="24"/>
          <w:szCs w:val="24"/>
        </w:rPr>
        <w:t xml:space="preserve"> and </w:t>
      </w:r>
      <w:r w:rsidRPr="008B7E7B">
        <w:rPr>
          <w:b/>
          <w:sz w:val="24"/>
          <w:szCs w:val="24"/>
        </w:rPr>
        <w:t xml:space="preserve">Minority Institutions (HBCU/MI) Program </w:t>
      </w:r>
    </w:p>
    <w:p w:rsidR="009C3D9E" w:rsidRPr="008812E4" w:rsidRDefault="009C3D9E" w:rsidP="009C3D9E">
      <w:pPr>
        <w:jc w:val="center"/>
        <w:rPr>
          <w:b/>
        </w:rPr>
      </w:pPr>
    </w:p>
    <w:p w:rsidR="009C3D9E" w:rsidRDefault="009C3D9E" w:rsidP="009C3D9E">
      <w:pPr>
        <w:jc w:val="center"/>
        <w:rPr>
          <w:rFonts w:cstheme="minorHAnsi"/>
          <w:b/>
          <w:sz w:val="24"/>
          <w:szCs w:val="24"/>
        </w:rPr>
      </w:pPr>
      <w:r>
        <w:rPr>
          <w:rFonts w:cstheme="minorHAnsi"/>
          <w:b/>
          <w:sz w:val="24"/>
          <w:szCs w:val="24"/>
        </w:rPr>
        <w:t>University of Alaska Fairbanks</w:t>
      </w:r>
    </w:p>
    <w:p w:rsidR="009C3D9E" w:rsidRDefault="009C3D9E" w:rsidP="009C3D9E">
      <w:pPr>
        <w:jc w:val="center"/>
        <w:rPr>
          <w:rFonts w:cstheme="minorHAnsi"/>
          <w:b/>
          <w:sz w:val="24"/>
          <w:szCs w:val="24"/>
        </w:rPr>
      </w:pPr>
      <w:r>
        <w:rPr>
          <w:rFonts w:cstheme="minorHAnsi"/>
          <w:b/>
          <w:sz w:val="24"/>
          <w:szCs w:val="24"/>
        </w:rPr>
        <w:t>Engineering Learning and Innovation Facility (ELIF)</w:t>
      </w:r>
    </w:p>
    <w:p w:rsidR="009C3D9E" w:rsidRPr="002F362D" w:rsidRDefault="009C3D9E" w:rsidP="009C3D9E">
      <w:pPr>
        <w:jc w:val="center"/>
        <w:rPr>
          <w:rFonts w:cstheme="minorHAnsi"/>
          <w:b/>
          <w:color w:val="FF0000"/>
          <w:sz w:val="24"/>
          <w:szCs w:val="24"/>
        </w:rPr>
      </w:pPr>
      <w:r>
        <w:rPr>
          <w:rFonts w:cstheme="minorHAnsi"/>
          <w:b/>
          <w:sz w:val="24"/>
          <w:szCs w:val="24"/>
        </w:rPr>
        <w:t>BP Design Theater, Room 401</w:t>
      </w:r>
    </w:p>
    <w:p w:rsidR="009C3D9E" w:rsidRPr="00930CBA" w:rsidRDefault="009C3D9E" w:rsidP="009C3D9E">
      <w:pPr>
        <w:jc w:val="center"/>
        <w:rPr>
          <w:rFonts w:cstheme="minorHAnsi"/>
          <w:b/>
          <w:sz w:val="24"/>
          <w:szCs w:val="24"/>
        </w:rPr>
      </w:pPr>
      <w:r>
        <w:rPr>
          <w:rFonts w:cstheme="minorHAnsi"/>
          <w:b/>
          <w:sz w:val="24"/>
          <w:szCs w:val="24"/>
        </w:rPr>
        <w:t>Thursday</w:t>
      </w:r>
      <w:r w:rsidRPr="00930CBA">
        <w:rPr>
          <w:rFonts w:cstheme="minorHAnsi"/>
          <w:b/>
          <w:sz w:val="24"/>
          <w:szCs w:val="24"/>
        </w:rPr>
        <w:t xml:space="preserve">, </w:t>
      </w:r>
      <w:r>
        <w:rPr>
          <w:rFonts w:cstheme="minorHAnsi"/>
          <w:b/>
          <w:sz w:val="24"/>
          <w:szCs w:val="24"/>
        </w:rPr>
        <w:t>April 26, 2018</w:t>
      </w:r>
    </w:p>
    <w:p w:rsidR="009C3D9E" w:rsidRPr="00930CBA" w:rsidRDefault="009C3D9E" w:rsidP="009C3D9E">
      <w:pPr>
        <w:jc w:val="center"/>
        <w:rPr>
          <w:rFonts w:cstheme="minorHAnsi"/>
          <w:b/>
          <w:sz w:val="24"/>
          <w:szCs w:val="24"/>
        </w:rPr>
      </w:pPr>
      <w:r>
        <w:rPr>
          <w:rFonts w:cstheme="minorHAnsi"/>
          <w:b/>
          <w:sz w:val="24"/>
          <w:szCs w:val="24"/>
        </w:rPr>
        <w:t>10:30 AM</w:t>
      </w:r>
      <w:r w:rsidRPr="00930CBA">
        <w:rPr>
          <w:rFonts w:cstheme="minorHAnsi"/>
          <w:b/>
          <w:sz w:val="24"/>
          <w:szCs w:val="24"/>
        </w:rPr>
        <w:t xml:space="preserve"> – </w:t>
      </w:r>
      <w:r>
        <w:rPr>
          <w:rFonts w:cstheme="minorHAnsi"/>
          <w:b/>
          <w:sz w:val="24"/>
          <w:szCs w:val="24"/>
        </w:rPr>
        <w:t>2</w:t>
      </w:r>
      <w:r w:rsidRPr="00930CBA">
        <w:rPr>
          <w:rFonts w:cstheme="minorHAnsi"/>
          <w:b/>
          <w:sz w:val="24"/>
          <w:szCs w:val="24"/>
        </w:rPr>
        <w:t>:</w:t>
      </w:r>
      <w:r>
        <w:rPr>
          <w:rFonts w:cstheme="minorHAnsi"/>
          <w:b/>
          <w:sz w:val="24"/>
          <w:szCs w:val="24"/>
        </w:rPr>
        <w:t>3</w:t>
      </w:r>
      <w:r w:rsidRPr="00930CBA">
        <w:rPr>
          <w:rFonts w:cstheme="minorHAnsi"/>
          <w:b/>
          <w:sz w:val="24"/>
          <w:szCs w:val="24"/>
        </w:rPr>
        <w:t xml:space="preserve">0 </w:t>
      </w:r>
      <w:r>
        <w:rPr>
          <w:rFonts w:cstheme="minorHAnsi"/>
          <w:b/>
          <w:sz w:val="24"/>
          <w:szCs w:val="24"/>
        </w:rPr>
        <w:t>PM</w:t>
      </w:r>
    </w:p>
    <w:p w:rsidR="0090205C" w:rsidRPr="006E54CB" w:rsidRDefault="0090205C" w:rsidP="0090205C">
      <w:pPr>
        <w:jc w:val="center"/>
        <w:rPr>
          <w:rFonts w:ascii="Minion Pro" w:hAnsi="Minion Pro" w:cs="Tahoma"/>
          <w:sz w:val="24"/>
          <w:szCs w:val="24"/>
        </w:rPr>
      </w:pPr>
    </w:p>
    <w:p w:rsidR="008A21E5" w:rsidRPr="006E54CB" w:rsidRDefault="00AA4A90" w:rsidP="008A21E5">
      <w:pPr>
        <w:pStyle w:val="PlainText"/>
        <w:rPr>
          <w:rFonts w:ascii="Minion Pro" w:hAnsi="Minion Pro"/>
        </w:rPr>
      </w:pPr>
      <w:r w:rsidRPr="006E54CB">
        <w:rPr>
          <w:rFonts w:ascii="Minion Pro" w:hAnsi="Minion Pro" w:cs="Tahoma"/>
          <w:szCs w:val="24"/>
        </w:rPr>
        <w:t xml:space="preserve">The </w:t>
      </w:r>
      <w:r w:rsidR="00761439" w:rsidRPr="006E54CB">
        <w:rPr>
          <w:rFonts w:ascii="Minion Pro" w:hAnsi="Minion Pro" w:cs="Tahoma"/>
          <w:szCs w:val="24"/>
        </w:rPr>
        <w:t xml:space="preserve">Office of the </w:t>
      </w:r>
      <w:r w:rsidRPr="006E54CB">
        <w:rPr>
          <w:rFonts w:ascii="Minion Pro" w:hAnsi="Minion Pro" w:cs="Tahoma"/>
          <w:szCs w:val="24"/>
        </w:rPr>
        <w:t>Vice Chancellor for Research</w:t>
      </w:r>
      <w:r w:rsidR="008A21E5" w:rsidRPr="006E54CB">
        <w:rPr>
          <w:rFonts w:ascii="Minion Pro" w:hAnsi="Minion Pro" w:cs="Tahoma"/>
          <w:szCs w:val="24"/>
        </w:rPr>
        <w:t xml:space="preserve"> and the Office of Grants and Contracts Administration are hosting </w:t>
      </w:r>
      <w:r w:rsidR="008A21E5" w:rsidRPr="006E54CB">
        <w:rPr>
          <w:rFonts w:ascii="Minion Pro" w:hAnsi="Minion Pro"/>
        </w:rPr>
        <w:t>the Department of Navy (</w:t>
      </w:r>
      <w:proofErr w:type="spellStart"/>
      <w:r w:rsidR="008A21E5" w:rsidRPr="006E54CB">
        <w:rPr>
          <w:rFonts w:ascii="Minion Pro" w:hAnsi="Minion Pro"/>
        </w:rPr>
        <w:t>DoN</w:t>
      </w:r>
      <w:proofErr w:type="spellEnd"/>
      <w:r w:rsidR="008A21E5" w:rsidRPr="006E54CB">
        <w:rPr>
          <w:rFonts w:ascii="Minion Pro" w:hAnsi="Minion Pro"/>
        </w:rPr>
        <w:t xml:space="preserve">) HBCU/MI Program </w:t>
      </w:r>
      <w:r w:rsidR="006E54CB" w:rsidRPr="006E54CB">
        <w:rPr>
          <w:rFonts w:ascii="Minion Pro" w:hAnsi="Minion Pro"/>
        </w:rPr>
        <w:t>in</w:t>
      </w:r>
      <w:r w:rsidR="008A21E5" w:rsidRPr="006E54CB">
        <w:rPr>
          <w:rFonts w:ascii="Minion Pro" w:hAnsi="Minion Pro"/>
        </w:rPr>
        <w:t xml:space="preserve"> its inaugural visit to the </w:t>
      </w:r>
      <w:r w:rsidR="006E54CB" w:rsidRPr="006E54CB">
        <w:rPr>
          <w:rFonts w:ascii="Minion Pro" w:hAnsi="Minion Pro"/>
        </w:rPr>
        <w:t>UAF campus</w:t>
      </w:r>
      <w:r w:rsidR="008A21E5" w:rsidRPr="006E54CB">
        <w:rPr>
          <w:rFonts w:ascii="Minion Pro" w:hAnsi="Minion Pro" w:cs="Tahoma"/>
          <w:szCs w:val="24"/>
        </w:rPr>
        <w:t xml:space="preserve"> on</w:t>
      </w:r>
      <w:r w:rsidR="006E54CB" w:rsidRPr="006E54CB">
        <w:rPr>
          <w:rFonts w:ascii="Minion Pro" w:hAnsi="Minion Pro"/>
        </w:rPr>
        <w:t xml:space="preserve"> Thursday, April 26th. </w:t>
      </w:r>
      <w:r w:rsidR="008A21E5" w:rsidRPr="006E54CB">
        <w:rPr>
          <w:rFonts w:ascii="Minion Pro" w:hAnsi="Minion Pro"/>
        </w:rPr>
        <w:t xml:space="preserve">Given the depth and breadth of naval-relevant research underway at UAF, the university's designation as a Land, Sea, and Space Grant Institution, and its diverse population, the </w:t>
      </w:r>
      <w:r w:rsidR="006E54CB" w:rsidRPr="006E54CB">
        <w:rPr>
          <w:rFonts w:ascii="Minion Pro" w:hAnsi="Minion Pro"/>
        </w:rPr>
        <w:t>p</w:t>
      </w:r>
      <w:r w:rsidR="008A21E5" w:rsidRPr="006E54CB">
        <w:rPr>
          <w:rFonts w:ascii="Minion Pro" w:hAnsi="Minion Pro"/>
        </w:rPr>
        <w:t xml:space="preserve">rogram's </w:t>
      </w:r>
      <w:r w:rsidR="006E54CB" w:rsidRPr="006E54CB">
        <w:rPr>
          <w:rFonts w:ascii="Minion Pro" w:hAnsi="Minion Pro"/>
        </w:rPr>
        <w:t>l</w:t>
      </w:r>
      <w:r w:rsidR="008A21E5" w:rsidRPr="006E54CB">
        <w:rPr>
          <w:rFonts w:ascii="Minion Pro" w:hAnsi="Minion Pro"/>
        </w:rPr>
        <w:t xml:space="preserve">eadership, </w:t>
      </w:r>
      <w:r w:rsidR="006E54CB" w:rsidRPr="006E54CB">
        <w:rPr>
          <w:rFonts w:ascii="Minion Pro" w:hAnsi="Minion Pro"/>
        </w:rPr>
        <w:t>s</w:t>
      </w:r>
      <w:r w:rsidR="008A21E5" w:rsidRPr="006E54CB">
        <w:rPr>
          <w:rFonts w:ascii="Minion Pro" w:hAnsi="Minion Pro"/>
        </w:rPr>
        <w:t xml:space="preserve">taff, and </w:t>
      </w:r>
      <w:r w:rsidR="006E54CB" w:rsidRPr="006E54CB">
        <w:rPr>
          <w:rFonts w:ascii="Minion Pro" w:hAnsi="Minion Pro"/>
        </w:rPr>
        <w:t>a</w:t>
      </w:r>
      <w:r w:rsidR="008A21E5" w:rsidRPr="006E54CB">
        <w:rPr>
          <w:rFonts w:ascii="Minion Pro" w:hAnsi="Minion Pro"/>
        </w:rPr>
        <w:t xml:space="preserve">ffiliates are excited about </w:t>
      </w:r>
      <w:r w:rsidR="006E54CB" w:rsidRPr="006E54CB">
        <w:rPr>
          <w:rFonts w:ascii="Minion Pro" w:hAnsi="Minion Pro"/>
        </w:rPr>
        <w:t xml:space="preserve">the </w:t>
      </w:r>
      <w:r w:rsidR="008A21E5" w:rsidRPr="006E54CB">
        <w:rPr>
          <w:rFonts w:ascii="Minion Pro" w:hAnsi="Minion Pro"/>
        </w:rPr>
        <w:t>upcoming visit.</w:t>
      </w:r>
      <w:r w:rsidR="006E54CB" w:rsidRPr="006E54CB">
        <w:rPr>
          <w:rFonts w:ascii="Minion Pro" w:hAnsi="Minion Pro"/>
        </w:rPr>
        <w:t xml:space="preserve"> </w:t>
      </w:r>
    </w:p>
    <w:p w:rsidR="008A21E5" w:rsidRPr="006E54CB" w:rsidRDefault="008A21E5" w:rsidP="008A21E5">
      <w:pPr>
        <w:pStyle w:val="PlainText"/>
        <w:rPr>
          <w:rFonts w:ascii="Minion Pro" w:hAnsi="Minion Pro"/>
        </w:rPr>
      </w:pPr>
    </w:p>
    <w:p w:rsidR="008A21E5" w:rsidRPr="006E54CB" w:rsidRDefault="008A21E5" w:rsidP="008A21E5">
      <w:pPr>
        <w:pStyle w:val="PlainText"/>
        <w:rPr>
          <w:rFonts w:ascii="Minion Pro" w:hAnsi="Minion Pro"/>
        </w:rPr>
      </w:pPr>
      <w:r w:rsidRPr="006E54CB">
        <w:rPr>
          <w:rFonts w:ascii="Minion Pro" w:hAnsi="Minion Pro"/>
        </w:rPr>
        <w:t xml:space="preserve">The goal of the visit is to expand awareness about the wide array of naval research, </w:t>
      </w:r>
      <w:r w:rsidR="006E54CB" w:rsidRPr="006E54CB">
        <w:rPr>
          <w:rFonts w:ascii="Minion Pro" w:hAnsi="Minion Pro"/>
        </w:rPr>
        <w:t>plus internship</w:t>
      </w:r>
      <w:r w:rsidRPr="006E54CB">
        <w:rPr>
          <w:rFonts w:ascii="Minion Pro" w:hAnsi="Minion Pro"/>
        </w:rPr>
        <w:t xml:space="preserve"> and fellowship opportunities available to Minority Institutions such as UAF. UAF students and faculty will benefit by attending key sessions, identifying programs of interest, and interacting with Naval Program Directors and Program Managers.</w:t>
      </w:r>
      <w:r w:rsidR="006E54CB" w:rsidRPr="006E54CB">
        <w:rPr>
          <w:rFonts w:ascii="Minion Pro" w:hAnsi="Minion Pro"/>
        </w:rPr>
        <w:t xml:space="preserve"> </w:t>
      </w:r>
    </w:p>
    <w:p w:rsidR="008A21E5" w:rsidRPr="006E54CB" w:rsidRDefault="008A21E5" w:rsidP="008A21E5">
      <w:pPr>
        <w:pStyle w:val="PlainText"/>
        <w:rPr>
          <w:rFonts w:ascii="Minion Pro" w:hAnsi="Minion Pro"/>
        </w:rPr>
      </w:pPr>
    </w:p>
    <w:p w:rsidR="008A21E5" w:rsidRPr="006E54CB" w:rsidRDefault="008A21E5" w:rsidP="008A21E5">
      <w:pPr>
        <w:pStyle w:val="PlainText"/>
        <w:rPr>
          <w:rFonts w:ascii="Minion Pro" w:hAnsi="Minion Pro"/>
        </w:rPr>
      </w:pPr>
      <w:r w:rsidRPr="006E54CB">
        <w:rPr>
          <w:rFonts w:ascii="Minion Pro" w:hAnsi="Minion Pro"/>
        </w:rPr>
        <w:t>The U.S. Navy and Marine Corps explore a host of research avenues in Science, Technology, Engineering, and Math</w:t>
      </w:r>
      <w:r w:rsidR="006E54CB" w:rsidRPr="006E54CB">
        <w:rPr>
          <w:rFonts w:ascii="Minion Pro" w:hAnsi="Minion Pro"/>
        </w:rPr>
        <w:t xml:space="preserve">ematics (STEM). </w:t>
      </w:r>
      <w:r w:rsidRPr="006E54CB">
        <w:rPr>
          <w:rFonts w:ascii="Minion Pro" w:hAnsi="Minion Pro"/>
        </w:rPr>
        <w:t>As a result, our naval research labs and warfare centers provide opportunities to conduct cutting-edge research alongside the nation's premier scientists and engineers.</w:t>
      </w:r>
      <w:r w:rsidR="006E54CB" w:rsidRPr="006E54CB">
        <w:rPr>
          <w:rFonts w:ascii="Minion Pro" w:hAnsi="Minion Pro"/>
        </w:rPr>
        <w:t xml:space="preserve"> </w:t>
      </w:r>
      <w:r w:rsidRPr="006E54CB">
        <w:rPr>
          <w:rFonts w:ascii="Minion Pro" w:hAnsi="Minion Pro"/>
        </w:rPr>
        <w:t>The faculty and student sessions scheduled during the visit will provide opportunities for the UAF community to get involved!</w:t>
      </w:r>
    </w:p>
    <w:p w:rsidR="008A21E5" w:rsidRPr="006E54CB" w:rsidRDefault="008A21E5" w:rsidP="008A21E5">
      <w:pPr>
        <w:pStyle w:val="PlainText"/>
        <w:rPr>
          <w:rFonts w:ascii="Minion Pro" w:hAnsi="Minion Pro"/>
        </w:rPr>
      </w:pPr>
    </w:p>
    <w:p w:rsidR="0090205C" w:rsidRDefault="006E54CB" w:rsidP="0090205C">
      <w:pPr>
        <w:rPr>
          <w:rFonts w:ascii="Minion Pro" w:hAnsi="Minion Pro" w:cs="Tahoma"/>
          <w:sz w:val="24"/>
          <w:szCs w:val="24"/>
        </w:rPr>
      </w:pPr>
      <w:r>
        <w:rPr>
          <w:rFonts w:ascii="Minion Pro" w:hAnsi="Minion Pro" w:cs="Tahoma"/>
          <w:sz w:val="24"/>
          <w:szCs w:val="24"/>
        </w:rPr>
        <w:t>Descriptions of the programs available to faculty and students are attached.</w:t>
      </w:r>
    </w:p>
    <w:p w:rsidR="009C3D9E" w:rsidRDefault="009C3D9E">
      <w:pPr>
        <w:rPr>
          <w:rFonts w:ascii="Minion Pro" w:hAnsi="Minion Pro" w:cs="Tahoma"/>
          <w:sz w:val="24"/>
          <w:szCs w:val="24"/>
        </w:rPr>
      </w:pPr>
      <w:r>
        <w:rPr>
          <w:rFonts w:ascii="Minion Pro" w:hAnsi="Minion Pro" w:cs="Tahoma"/>
          <w:sz w:val="24"/>
          <w:szCs w:val="24"/>
        </w:rPr>
        <w:br w:type="page"/>
      </w:r>
    </w:p>
    <w:p w:rsidR="006E54CB" w:rsidRDefault="006E54CB" w:rsidP="0090205C">
      <w:pPr>
        <w:rPr>
          <w:rFonts w:ascii="Minion Pro" w:hAnsi="Minion Pro" w:cs="Tahoma"/>
          <w:sz w:val="24"/>
          <w:szCs w:val="24"/>
        </w:rPr>
      </w:pPr>
      <w:bookmarkStart w:id="0" w:name="_GoBack"/>
      <w:bookmarkEnd w:id="0"/>
    </w:p>
    <w:p w:rsidR="009C3D9E" w:rsidRPr="00930CBA" w:rsidRDefault="009C3D9E" w:rsidP="009C3D9E">
      <w:pPr>
        <w:jc w:val="center"/>
        <w:rPr>
          <w:rFonts w:cstheme="minorHAnsi"/>
          <w:b/>
          <w:sz w:val="24"/>
          <w:szCs w:val="24"/>
        </w:rPr>
      </w:pPr>
      <w:r>
        <w:rPr>
          <w:rFonts w:cstheme="minorHAnsi"/>
          <w:b/>
          <w:sz w:val="24"/>
          <w:szCs w:val="24"/>
        </w:rPr>
        <w:t>10:30 AM</w:t>
      </w:r>
      <w:r w:rsidRPr="00930CBA">
        <w:rPr>
          <w:rFonts w:cstheme="minorHAnsi"/>
          <w:b/>
          <w:sz w:val="24"/>
          <w:szCs w:val="24"/>
        </w:rPr>
        <w:t xml:space="preserve"> – </w:t>
      </w:r>
      <w:r>
        <w:rPr>
          <w:rFonts w:cstheme="minorHAnsi"/>
          <w:b/>
          <w:sz w:val="24"/>
          <w:szCs w:val="24"/>
        </w:rPr>
        <w:t>2</w:t>
      </w:r>
      <w:r w:rsidRPr="00930CBA">
        <w:rPr>
          <w:rFonts w:cstheme="minorHAnsi"/>
          <w:b/>
          <w:sz w:val="24"/>
          <w:szCs w:val="24"/>
        </w:rPr>
        <w:t>:</w:t>
      </w:r>
      <w:r>
        <w:rPr>
          <w:rFonts w:cstheme="minorHAnsi"/>
          <w:b/>
          <w:sz w:val="24"/>
          <w:szCs w:val="24"/>
        </w:rPr>
        <w:t>3</w:t>
      </w:r>
      <w:r w:rsidRPr="00930CBA">
        <w:rPr>
          <w:rFonts w:cstheme="minorHAnsi"/>
          <w:b/>
          <w:sz w:val="24"/>
          <w:szCs w:val="24"/>
        </w:rPr>
        <w:t xml:space="preserve">0 </w:t>
      </w:r>
      <w:r>
        <w:rPr>
          <w:rFonts w:cstheme="minorHAnsi"/>
          <w:b/>
          <w:sz w:val="24"/>
          <w:szCs w:val="24"/>
        </w:rPr>
        <w:t>PM</w:t>
      </w:r>
    </w:p>
    <w:p w:rsidR="009C3D9E" w:rsidRDefault="009C3D9E" w:rsidP="009C3D9E">
      <w:pPr>
        <w:rPr>
          <w:rFonts w:cstheme="minorHAnsi"/>
          <w:b/>
          <w:sz w:val="20"/>
          <w:szCs w:val="20"/>
        </w:rPr>
      </w:pPr>
    </w:p>
    <w:p w:rsidR="009C3D9E" w:rsidRPr="00771278" w:rsidRDefault="009C3D9E" w:rsidP="009C3D9E">
      <w:pPr>
        <w:jc w:val="center"/>
        <w:rPr>
          <w:rFonts w:cstheme="minorHAnsi"/>
          <w:b/>
          <w:sz w:val="24"/>
          <w:szCs w:val="24"/>
          <w:u w:val="single"/>
        </w:rPr>
      </w:pPr>
      <w:r w:rsidRPr="00771278">
        <w:rPr>
          <w:rFonts w:cstheme="minorHAnsi"/>
          <w:b/>
          <w:sz w:val="24"/>
          <w:szCs w:val="24"/>
          <w:u w:val="single"/>
        </w:rPr>
        <w:t xml:space="preserve">FACULTY/STAFF/ADMINISTRATOR </w:t>
      </w:r>
      <w:r>
        <w:rPr>
          <w:rFonts w:cstheme="minorHAnsi"/>
          <w:b/>
          <w:sz w:val="24"/>
          <w:szCs w:val="24"/>
          <w:u w:val="single"/>
        </w:rPr>
        <w:t>FOCUS MEETING</w:t>
      </w:r>
    </w:p>
    <w:tbl>
      <w:tblPr>
        <w:tblStyle w:val="LightList"/>
        <w:tblW w:w="9990" w:type="dxa"/>
        <w:tblInd w:w="-432" w:type="dxa"/>
        <w:tblLayout w:type="fixed"/>
        <w:tblLook w:val="04A0" w:firstRow="1" w:lastRow="0" w:firstColumn="1" w:lastColumn="0" w:noHBand="0" w:noVBand="1"/>
      </w:tblPr>
      <w:tblGrid>
        <w:gridCol w:w="2880"/>
        <w:gridCol w:w="2610"/>
        <w:gridCol w:w="1170"/>
        <w:gridCol w:w="1080"/>
        <w:gridCol w:w="2250"/>
      </w:tblGrid>
      <w:tr w:rsidR="009C3D9E" w:rsidTr="005E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b w:val="0"/>
                <w:sz w:val="20"/>
                <w:szCs w:val="20"/>
              </w:rPr>
            </w:pPr>
            <w:r>
              <w:rPr>
                <w:rFonts w:cstheme="minorHAnsi"/>
                <w:b w:val="0"/>
                <w:sz w:val="20"/>
                <w:szCs w:val="20"/>
              </w:rPr>
              <w:t>Event</w:t>
            </w:r>
          </w:p>
        </w:tc>
        <w:tc>
          <w:tcPr>
            <w:tcW w:w="261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c>
          <w:tcPr>
            <w:tcW w:w="117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b w:val="0"/>
                <w:sz w:val="20"/>
                <w:szCs w:val="20"/>
              </w:rPr>
              <w:t>Start Time</w:t>
            </w:r>
          </w:p>
        </w:tc>
        <w:tc>
          <w:tcPr>
            <w:tcW w:w="108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b w:val="0"/>
                <w:sz w:val="20"/>
                <w:szCs w:val="20"/>
              </w:rPr>
              <w:t>End Time</w:t>
            </w:r>
          </w:p>
        </w:tc>
        <w:tc>
          <w:tcPr>
            <w:tcW w:w="225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b w:val="0"/>
                <w:sz w:val="20"/>
                <w:szCs w:val="20"/>
              </w:rPr>
              <w:t>Notes</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Pr="00361282" w:rsidRDefault="009C3D9E" w:rsidP="005E3F83">
            <w:pPr>
              <w:rPr>
                <w:rFonts w:cstheme="minorHAnsi"/>
                <w:sz w:val="20"/>
                <w:szCs w:val="20"/>
              </w:rPr>
            </w:pPr>
            <w:r>
              <w:rPr>
                <w:rFonts w:cstheme="minorHAnsi"/>
                <w:sz w:val="20"/>
                <w:szCs w:val="20"/>
              </w:rPr>
              <w:t>Opening/Welcome</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10:30 AM</w:t>
            </w:r>
          </w:p>
        </w:tc>
        <w:tc>
          <w:tcPr>
            <w:tcW w:w="108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w:t>
            </w:r>
            <w:r w:rsidRPr="00361282">
              <w:rPr>
                <w:rFonts w:cstheme="minorHAnsi"/>
                <w:sz w:val="20"/>
                <w:szCs w:val="20"/>
              </w:rPr>
              <w:t>:</w:t>
            </w:r>
            <w:r>
              <w:rPr>
                <w:rFonts w:cstheme="minorHAnsi"/>
                <w:sz w:val="20"/>
                <w:szCs w:val="20"/>
              </w:rPr>
              <w:t>35</w:t>
            </w:r>
            <w:r w:rsidRPr="00361282">
              <w:rPr>
                <w:rFonts w:cstheme="minorHAnsi"/>
                <w:sz w:val="20"/>
                <w:szCs w:val="20"/>
              </w:rPr>
              <w:t xml:space="preserve"> </w:t>
            </w:r>
            <w:r>
              <w:rPr>
                <w:rFonts w:cstheme="minorHAnsi"/>
                <w:sz w:val="20"/>
                <w:szCs w:val="20"/>
              </w:rPr>
              <w:t>A</w:t>
            </w:r>
            <w:r w:rsidRPr="00361282">
              <w:rPr>
                <w:rFonts w:cstheme="minorHAnsi"/>
                <w:sz w:val="20"/>
                <w:szCs w:val="20"/>
              </w:rPr>
              <w:t>M</w:t>
            </w:r>
          </w:p>
        </w:tc>
        <w:tc>
          <w:tcPr>
            <w:tcW w:w="225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Campus Official (LH/RM)</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Borders>
              <w:bottom w:val="single" w:sz="8" w:space="0" w:color="000000" w:themeColor="text1"/>
            </w:tcBorders>
            <w:shd w:val="clear" w:color="auto" w:fill="F2F2F2" w:themeFill="background1" w:themeFillShade="F2"/>
          </w:tcPr>
          <w:p w:rsidR="009C3D9E" w:rsidRPr="00361282" w:rsidRDefault="009C3D9E" w:rsidP="005E3F83">
            <w:pPr>
              <w:rPr>
                <w:rFonts w:cstheme="minorHAnsi"/>
                <w:sz w:val="20"/>
                <w:szCs w:val="20"/>
              </w:rPr>
            </w:pPr>
            <w:r>
              <w:rPr>
                <w:rFonts w:cstheme="minorHAnsi"/>
                <w:sz w:val="20"/>
                <w:szCs w:val="20"/>
              </w:rPr>
              <w:t xml:space="preserve">Introduction of </w:t>
            </w:r>
            <w:proofErr w:type="spellStart"/>
            <w:r>
              <w:rPr>
                <w:rFonts w:cstheme="minorHAnsi"/>
                <w:sz w:val="20"/>
                <w:szCs w:val="20"/>
              </w:rPr>
              <w:t>DoN</w:t>
            </w:r>
            <w:proofErr w:type="spellEnd"/>
            <w:r>
              <w:rPr>
                <w:rFonts w:cstheme="minorHAnsi"/>
                <w:sz w:val="20"/>
                <w:szCs w:val="20"/>
              </w:rPr>
              <w:t xml:space="preserve"> Visitors</w:t>
            </w:r>
          </w:p>
        </w:tc>
        <w:tc>
          <w:tcPr>
            <w:tcW w:w="2610" w:type="dxa"/>
            <w:shd w:val="clear" w:color="auto" w:fill="F2F2F2" w:themeFill="background1" w:themeFillShade="F2"/>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shd w:val="clear" w:color="auto" w:fill="F2F2F2" w:themeFill="background1" w:themeFillShade="F2"/>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10:35 AM</w:t>
            </w:r>
          </w:p>
        </w:tc>
        <w:tc>
          <w:tcPr>
            <w:tcW w:w="1080" w:type="dxa"/>
            <w:shd w:val="clear" w:color="auto" w:fill="F2F2F2" w:themeFill="background1" w:themeFillShade="F2"/>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10:40 AM</w:t>
            </w:r>
          </w:p>
        </w:tc>
        <w:tc>
          <w:tcPr>
            <w:tcW w:w="2250" w:type="dxa"/>
            <w:shd w:val="clear" w:color="auto" w:fill="F2F2F2" w:themeFill="background1" w:themeFillShade="F2"/>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Mr. Anthony C. Smith, Sr.</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proofErr w:type="spellStart"/>
            <w:r>
              <w:rPr>
                <w:rFonts w:cstheme="minorHAnsi"/>
                <w:sz w:val="20"/>
                <w:szCs w:val="20"/>
              </w:rPr>
              <w:t>DoN</w:t>
            </w:r>
            <w:proofErr w:type="spellEnd"/>
            <w:r>
              <w:rPr>
                <w:rFonts w:cstheme="minorHAnsi"/>
                <w:sz w:val="20"/>
                <w:szCs w:val="20"/>
              </w:rPr>
              <w:t xml:space="preserve"> HBCU/MI FOA</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10:40 AM</w:t>
            </w:r>
          </w:p>
        </w:tc>
        <w:tc>
          <w:tcPr>
            <w:tcW w:w="108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10:50 AM</w:t>
            </w:r>
          </w:p>
        </w:tc>
        <w:tc>
          <w:tcPr>
            <w:tcW w:w="225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Mr. Anthony C. Smith, Sr.</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Naval STEM</w:t>
            </w:r>
          </w:p>
        </w:tc>
        <w:tc>
          <w:tcPr>
            <w:tcW w:w="2610" w:type="dxa"/>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10:50 AM</w:t>
            </w:r>
          </w:p>
        </w:tc>
        <w:tc>
          <w:tcPr>
            <w:tcW w:w="108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11:00 AM</w:t>
            </w:r>
          </w:p>
        </w:tc>
        <w:tc>
          <w:tcPr>
            <w:tcW w:w="225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Summer Faculty/Sabbatical Leave Research Programs</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11:00 AM</w:t>
            </w:r>
          </w:p>
        </w:tc>
        <w:tc>
          <w:tcPr>
            <w:tcW w:w="108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11:10 AM</w:t>
            </w:r>
          </w:p>
        </w:tc>
        <w:tc>
          <w:tcPr>
            <w:tcW w:w="225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YIP</w:t>
            </w:r>
          </w:p>
        </w:tc>
        <w:tc>
          <w:tcPr>
            <w:tcW w:w="2610" w:type="dxa"/>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11:10 AM</w:t>
            </w:r>
          </w:p>
        </w:tc>
        <w:tc>
          <w:tcPr>
            <w:tcW w:w="108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11:20 AM</w:t>
            </w:r>
          </w:p>
        </w:tc>
        <w:tc>
          <w:tcPr>
            <w:tcW w:w="225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Q&amp;A</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11:20 AM</w:t>
            </w:r>
          </w:p>
        </w:tc>
        <w:tc>
          <w:tcPr>
            <w:tcW w:w="108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11:30 AM</w:t>
            </w:r>
          </w:p>
        </w:tc>
        <w:tc>
          <w:tcPr>
            <w:tcW w:w="225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All</w:t>
            </w:r>
          </w:p>
        </w:tc>
      </w:tr>
    </w:tbl>
    <w:p w:rsidR="009C3D9E" w:rsidRPr="00B04940" w:rsidRDefault="009C3D9E" w:rsidP="009C3D9E">
      <w:pPr>
        <w:rPr>
          <w:b/>
        </w:rPr>
      </w:pPr>
    </w:p>
    <w:p w:rsidR="009C3D9E" w:rsidRDefault="009C3D9E" w:rsidP="009C3D9E">
      <w:pPr>
        <w:jc w:val="center"/>
        <w:rPr>
          <w:rFonts w:cstheme="minorHAnsi"/>
          <w:b/>
          <w:sz w:val="24"/>
          <w:szCs w:val="24"/>
          <w:u w:val="single"/>
        </w:rPr>
      </w:pPr>
      <w:r w:rsidRPr="00771278">
        <w:rPr>
          <w:rFonts w:cstheme="minorHAnsi"/>
          <w:b/>
          <w:sz w:val="24"/>
          <w:szCs w:val="24"/>
          <w:u w:val="single"/>
        </w:rPr>
        <w:t xml:space="preserve">STUDENT </w:t>
      </w:r>
      <w:r>
        <w:rPr>
          <w:rFonts w:cstheme="minorHAnsi"/>
          <w:b/>
          <w:sz w:val="24"/>
          <w:szCs w:val="24"/>
          <w:u w:val="single"/>
        </w:rPr>
        <w:t xml:space="preserve">FOCUS </w:t>
      </w:r>
      <w:r w:rsidRPr="00771278">
        <w:rPr>
          <w:rFonts w:cstheme="minorHAnsi"/>
          <w:b/>
          <w:sz w:val="24"/>
          <w:szCs w:val="24"/>
          <w:u w:val="single"/>
        </w:rPr>
        <w:t>MEETING</w:t>
      </w:r>
    </w:p>
    <w:tbl>
      <w:tblPr>
        <w:tblStyle w:val="LightList"/>
        <w:tblW w:w="9990" w:type="dxa"/>
        <w:tblInd w:w="-432" w:type="dxa"/>
        <w:tblLayout w:type="fixed"/>
        <w:tblLook w:val="04A0" w:firstRow="1" w:lastRow="0" w:firstColumn="1" w:lastColumn="0" w:noHBand="0" w:noVBand="1"/>
      </w:tblPr>
      <w:tblGrid>
        <w:gridCol w:w="2880"/>
        <w:gridCol w:w="2610"/>
        <w:gridCol w:w="1170"/>
        <w:gridCol w:w="990"/>
        <w:gridCol w:w="2340"/>
      </w:tblGrid>
      <w:tr w:rsidR="009C3D9E" w:rsidTr="005E3F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b w:val="0"/>
                <w:sz w:val="20"/>
                <w:szCs w:val="20"/>
              </w:rPr>
            </w:pPr>
            <w:r>
              <w:rPr>
                <w:rFonts w:cstheme="minorHAnsi"/>
                <w:b w:val="0"/>
                <w:sz w:val="20"/>
                <w:szCs w:val="20"/>
              </w:rPr>
              <w:t>Event</w:t>
            </w:r>
          </w:p>
        </w:tc>
        <w:tc>
          <w:tcPr>
            <w:tcW w:w="261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c>
          <w:tcPr>
            <w:tcW w:w="117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b w:val="0"/>
                <w:sz w:val="20"/>
                <w:szCs w:val="20"/>
              </w:rPr>
              <w:t>Start Time</w:t>
            </w:r>
          </w:p>
        </w:tc>
        <w:tc>
          <w:tcPr>
            <w:tcW w:w="99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b w:val="0"/>
                <w:sz w:val="20"/>
                <w:szCs w:val="20"/>
              </w:rPr>
              <w:t>End Time</w:t>
            </w:r>
          </w:p>
        </w:tc>
        <w:tc>
          <w:tcPr>
            <w:tcW w:w="2340" w:type="dxa"/>
          </w:tcPr>
          <w:p w:rsidR="009C3D9E" w:rsidRDefault="009C3D9E" w:rsidP="005E3F83">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cstheme="minorHAnsi"/>
                <w:b w:val="0"/>
                <w:sz w:val="20"/>
                <w:szCs w:val="20"/>
              </w:rPr>
              <w:t>Notes</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Pr="00361282" w:rsidRDefault="009C3D9E" w:rsidP="005E3F83">
            <w:pPr>
              <w:rPr>
                <w:rFonts w:cstheme="minorHAnsi"/>
                <w:sz w:val="20"/>
                <w:szCs w:val="20"/>
              </w:rPr>
            </w:pPr>
            <w:r>
              <w:rPr>
                <w:rFonts w:cstheme="minorHAnsi"/>
                <w:sz w:val="20"/>
                <w:szCs w:val="20"/>
              </w:rPr>
              <w:t>Opening/Welcome</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1:00 PM</w:t>
            </w:r>
          </w:p>
        </w:tc>
        <w:tc>
          <w:tcPr>
            <w:tcW w:w="99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1:05</w:t>
            </w:r>
            <w:r w:rsidRPr="00361282">
              <w:rPr>
                <w:rFonts w:cstheme="minorHAnsi"/>
                <w:sz w:val="20"/>
                <w:szCs w:val="20"/>
              </w:rPr>
              <w:t xml:space="preserve"> </w:t>
            </w:r>
            <w:r>
              <w:rPr>
                <w:rFonts w:cstheme="minorHAnsi"/>
                <w:sz w:val="20"/>
                <w:szCs w:val="20"/>
              </w:rPr>
              <w:t>P</w:t>
            </w:r>
            <w:r w:rsidRPr="00361282">
              <w:rPr>
                <w:rFonts w:cstheme="minorHAnsi"/>
                <w:sz w:val="20"/>
                <w:szCs w:val="20"/>
              </w:rPr>
              <w:t>M</w:t>
            </w:r>
          </w:p>
        </w:tc>
        <w:tc>
          <w:tcPr>
            <w:tcW w:w="234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Campus Official</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Borders>
              <w:bottom w:val="single" w:sz="8" w:space="0" w:color="000000" w:themeColor="text1"/>
            </w:tcBorders>
            <w:shd w:val="clear" w:color="auto" w:fill="F2F2F2" w:themeFill="background1" w:themeFillShade="F2"/>
          </w:tcPr>
          <w:p w:rsidR="009C3D9E" w:rsidRPr="00361282" w:rsidRDefault="009C3D9E" w:rsidP="005E3F83">
            <w:pPr>
              <w:rPr>
                <w:rFonts w:cstheme="minorHAnsi"/>
                <w:sz w:val="20"/>
                <w:szCs w:val="20"/>
              </w:rPr>
            </w:pPr>
            <w:r>
              <w:rPr>
                <w:rFonts w:cstheme="minorHAnsi"/>
                <w:sz w:val="20"/>
                <w:szCs w:val="20"/>
              </w:rPr>
              <w:t xml:space="preserve">Introduction of </w:t>
            </w:r>
            <w:proofErr w:type="spellStart"/>
            <w:r>
              <w:rPr>
                <w:rFonts w:cstheme="minorHAnsi"/>
                <w:sz w:val="20"/>
                <w:szCs w:val="20"/>
              </w:rPr>
              <w:t>DoN</w:t>
            </w:r>
            <w:proofErr w:type="spellEnd"/>
            <w:r>
              <w:rPr>
                <w:rFonts w:cstheme="minorHAnsi"/>
                <w:sz w:val="20"/>
                <w:szCs w:val="20"/>
              </w:rPr>
              <w:t xml:space="preserve"> Visitors</w:t>
            </w:r>
          </w:p>
        </w:tc>
        <w:tc>
          <w:tcPr>
            <w:tcW w:w="2610" w:type="dxa"/>
            <w:shd w:val="clear" w:color="auto" w:fill="F2F2F2" w:themeFill="background1" w:themeFillShade="F2"/>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shd w:val="clear" w:color="auto" w:fill="F2F2F2" w:themeFill="background1" w:themeFillShade="F2"/>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1:05 PM</w:t>
            </w:r>
          </w:p>
        </w:tc>
        <w:tc>
          <w:tcPr>
            <w:tcW w:w="990" w:type="dxa"/>
            <w:shd w:val="clear" w:color="auto" w:fill="F2F2F2" w:themeFill="background1" w:themeFillShade="F2"/>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1:10 PM</w:t>
            </w:r>
          </w:p>
        </w:tc>
        <w:tc>
          <w:tcPr>
            <w:tcW w:w="2340" w:type="dxa"/>
            <w:shd w:val="clear" w:color="auto" w:fill="F2F2F2" w:themeFill="background1" w:themeFillShade="F2"/>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Mr. Anthony C. Smith, Sr.</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Naval Research Lab Internship</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1:10 PM</w:t>
            </w:r>
          </w:p>
        </w:tc>
        <w:tc>
          <w:tcPr>
            <w:tcW w:w="99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1:20 PM</w:t>
            </w:r>
          </w:p>
        </w:tc>
        <w:tc>
          <w:tcPr>
            <w:tcW w:w="234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Mr. Anthony C. Smith, Sr.</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NAVAIR Internship</w:t>
            </w:r>
          </w:p>
        </w:tc>
        <w:tc>
          <w:tcPr>
            <w:tcW w:w="2610" w:type="dxa"/>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1:20 PM</w:t>
            </w:r>
          </w:p>
        </w:tc>
        <w:tc>
          <w:tcPr>
            <w:tcW w:w="99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1:30 PM</w:t>
            </w:r>
          </w:p>
        </w:tc>
        <w:tc>
          <w:tcPr>
            <w:tcW w:w="234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Pr="0057380E" w:rsidRDefault="009C3D9E" w:rsidP="005E3F83">
            <w:pPr>
              <w:rPr>
                <w:rFonts w:cstheme="minorHAnsi"/>
                <w:sz w:val="20"/>
                <w:szCs w:val="20"/>
              </w:rPr>
            </w:pPr>
            <w:r w:rsidRPr="0057380E">
              <w:rPr>
                <w:sz w:val="20"/>
                <w:szCs w:val="20"/>
              </w:rPr>
              <w:t xml:space="preserve">Cybersecurity/ </w:t>
            </w:r>
            <w:r>
              <w:rPr>
                <w:sz w:val="20"/>
                <w:szCs w:val="20"/>
              </w:rPr>
              <w:t xml:space="preserve">IA </w:t>
            </w:r>
            <w:r w:rsidRPr="0057380E">
              <w:rPr>
                <w:sz w:val="20"/>
                <w:szCs w:val="20"/>
              </w:rPr>
              <w:t>Program</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1:30PM</w:t>
            </w:r>
          </w:p>
        </w:tc>
        <w:tc>
          <w:tcPr>
            <w:tcW w:w="99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1:40 PM</w:t>
            </w:r>
          </w:p>
        </w:tc>
        <w:tc>
          <w:tcPr>
            <w:tcW w:w="234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NAVSUP Internship</w:t>
            </w:r>
          </w:p>
        </w:tc>
        <w:tc>
          <w:tcPr>
            <w:tcW w:w="2610" w:type="dxa"/>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1:40 PM</w:t>
            </w:r>
          </w:p>
        </w:tc>
        <w:tc>
          <w:tcPr>
            <w:tcW w:w="99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1:50 PM</w:t>
            </w:r>
          </w:p>
        </w:tc>
        <w:tc>
          <w:tcPr>
            <w:tcW w:w="234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NREIP</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1:50 PM</w:t>
            </w:r>
          </w:p>
        </w:tc>
        <w:tc>
          <w:tcPr>
            <w:tcW w:w="99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2:00 PM</w:t>
            </w:r>
          </w:p>
        </w:tc>
        <w:tc>
          <w:tcPr>
            <w:tcW w:w="234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SMART Scholarship</w:t>
            </w:r>
          </w:p>
        </w:tc>
        <w:tc>
          <w:tcPr>
            <w:tcW w:w="2610" w:type="dxa"/>
          </w:tcPr>
          <w:p w:rsidR="009C3D9E" w:rsidRPr="00361282"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2:00 PM</w:t>
            </w:r>
          </w:p>
        </w:tc>
        <w:tc>
          <w:tcPr>
            <w:tcW w:w="99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2:10 PM</w:t>
            </w:r>
          </w:p>
        </w:tc>
        <w:tc>
          <w:tcPr>
            <w:tcW w:w="2340" w:type="dxa"/>
          </w:tcPr>
          <w:p w:rsidR="009C3D9E" w:rsidRDefault="009C3D9E" w:rsidP="005E3F83">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Pr>
                <w:rFonts w:cstheme="minorHAnsi"/>
                <w:sz w:val="20"/>
                <w:szCs w:val="20"/>
              </w:rPr>
              <w:t>DoN</w:t>
            </w:r>
            <w:proofErr w:type="spellEnd"/>
            <w:r>
              <w:rPr>
                <w:rFonts w:cstheme="minorHAnsi"/>
                <w:sz w:val="20"/>
                <w:szCs w:val="20"/>
              </w:rPr>
              <w:t xml:space="preserve"> Personnel</w:t>
            </w:r>
          </w:p>
        </w:tc>
      </w:tr>
      <w:tr w:rsidR="009C3D9E" w:rsidTr="005E3F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rsidR="009C3D9E" w:rsidRDefault="009C3D9E" w:rsidP="005E3F83">
            <w:pPr>
              <w:rPr>
                <w:rFonts w:cstheme="minorHAnsi"/>
                <w:sz w:val="20"/>
                <w:szCs w:val="20"/>
              </w:rPr>
            </w:pPr>
            <w:r>
              <w:rPr>
                <w:rFonts w:cstheme="minorHAnsi"/>
                <w:sz w:val="20"/>
                <w:szCs w:val="20"/>
              </w:rPr>
              <w:t>Q&amp;A</w:t>
            </w:r>
          </w:p>
        </w:tc>
        <w:tc>
          <w:tcPr>
            <w:tcW w:w="2610" w:type="dxa"/>
          </w:tcPr>
          <w:p w:rsidR="009C3D9E" w:rsidRPr="00361282"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7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2:10 PM</w:t>
            </w:r>
          </w:p>
        </w:tc>
        <w:tc>
          <w:tcPr>
            <w:tcW w:w="99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2:30 PM</w:t>
            </w:r>
          </w:p>
        </w:tc>
        <w:tc>
          <w:tcPr>
            <w:tcW w:w="2340" w:type="dxa"/>
          </w:tcPr>
          <w:p w:rsidR="009C3D9E" w:rsidRDefault="009C3D9E" w:rsidP="005E3F83">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All</w:t>
            </w:r>
          </w:p>
        </w:tc>
      </w:tr>
    </w:tbl>
    <w:p w:rsidR="009C3D9E" w:rsidRDefault="009C3D9E" w:rsidP="009C3D9E">
      <w:pPr>
        <w:rPr>
          <w:b/>
        </w:rPr>
      </w:pPr>
    </w:p>
    <w:p w:rsidR="009C3D9E" w:rsidRDefault="009C3D9E" w:rsidP="009C3D9E">
      <w:pPr>
        <w:rPr>
          <w:b/>
        </w:rPr>
      </w:pPr>
    </w:p>
    <w:p w:rsidR="009C3D9E" w:rsidRPr="001F6825" w:rsidRDefault="009C3D9E" w:rsidP="009C3D9E">
      <w:pPr>
        <w:rPr>
          <w:b/>
          <w:color w:val="FF0000"/>
          <w:u w:val="single"/>
        </w:rPr>
      </w:pPr>
      <w:r w:rsidRPr="001F6825">
        <w:rPr>
          <w:b/>
          <w:color w:val="FF0000"/>
          <w:u w:val="single"/>
        </w:rPr>
        <w:t>Faculty/Staff/Administrator Meeting:</w:t>
      </w:r>
    </w:p>
    <w:p w:rsidR="009C3D9E" w:rsidRPr="001F6825" w:rsidRDefault="009C3D9E" w:rsidP="009C3D9E">
      <w:pPr>
        <w:pStyle w:val="PlainText"/>
        <w:rPr>
          <w:rFonts w:asciiTheme="minorHAnsi" w:hAnsiTheme="minorHAnsi" w:cstheme="minorHAnsi"/>
          <w:b/>
          <w:sz w:val="22"/>
          <w:szCs w:val="22"/>
        </w:rPr>
      </w:pPr>
      <w:proofErr w:type="spellStart"/>
      <w:r w:rsidRPr="001F6825">
        <w:rPr>
          <w:rFonts w:asciiTheme="minorHAnsi" w:hAnsiTheme="minorHAnsi" w:cstheme="minorHAnsi"/>
          <w:b/>
          <w:sz w:val="22"/>
          <w:szCs w:val="22"/>
        </w:rPr>
        <w:t>DoN</w:t>
      </w:r>
      <w:proofErr w:type="spellEnd"/>
      <w:r w:rsidRPr="001F6825">
        <w:rPr>
          <w:rFonts w:asciiTheme="minorHAnsi" w:hAnsiTheme="minorHAnsi" w:cstheme="minorHAnsi"/>
          <w:b/>
          <w:sz w:val="22"/>
          <w:szCs w:val="22"/>
        </w:rPr>
        <w:t xml:space="preserve"> HBCU/MI FOA:</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The Department of Navy (</w:t>
      </w:r>
      <w:proofErr w:type="spellStart"/>
      <w:r w:rsidRPr="001F6825">
        <w:rPr>
          <w:rFonts w:asciiTheme="minorHAnsi" w:hAnsiTheme="minorHAnsi" w:cstheme="minorHAnsi"/>
          <w:sz w:val="22"/>
          <w:szCs w:val="22"/>
        </w:rPr>
        <w:t>DoN</w:t>
      </w:r>
      <w:proofErr w:type="spellEnd"/>
      <w:r w:rsidRPr="001F6825">
        <w:rPr>
          <w:rFonts w:asciiTheme="minorHAnsi" w:hAnsiTheme="minorHAnsi" w:cstheme="minorHAnsi"/>
          <w:sz w:val="22"/>
          <w:szCs w:val="22"/>
        </w:rPr>
        <w:t>) Historically Black Colleges and Universities/Minority Institutions (HBCU/MI) Funding Opportunity Announcement (FOA) supports naval-relevant research pursuits at HBCU/MIs.  Interested Minority Serving Institutions (MSIs) submit white papers that adhere to the criteria indicated in the FOA and outline the motivation, relevance, and potential impact of research projects.  After a review of white papers, a select few subsequent full proposals will be invited for submission.</w:t>
      </w: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b/>
          <w:sz w:val="22"/>
          <w:szCs w:val="22"/>
        </w:rPr>
      </w:pPr>
      <w:r w:rsidRPr="001F6825">
        <w:rPr>
          <w:rFonts w:asciiTheme="minorHAnsi" w:hAnsiTheme="minorHAnsi" w:cstheme="minorHAnsi"/>
          <w:b/>
          <w:sz w:val="22"/>
          <w:szCs w:val="22"/>
        </w:rPr>
        <w:t>Naval STEM:</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The </w:t>
      </w:r>
      <w:proofErr w:type="spellStart"/>
      <w:r w:rsidRPr="001F6825">
        <w:rPr>
          <w:rFonts w:asciiTheme="minorHAnsi" w:hAnsiTheme="minorHAnsi" w:cstheme="minorHAnsi"/>
          <w:sz w:val="22"/>
          <w:szCs w:val="22"/>
        </w:rPr>
        <w:t>DoN</w:t>
      </w:r>
      <w:proofErr w:type="spellEnd"/>
      <w:r w:rsidRPr="001F6825">
        <w:rPr>
          <w:rFonts w:asciiTheme="minorHAnsi" w:hAnsiTheme="minorHAnsi" w:cstheme="minorHAnsi"/>
          <w:sz w:val="22"/>
          <w:szCs w:val="22"/>
        </w:rPr>
        <w:t xml:space="preserve"> recognizes that a healthy STEM workforce is critical to meeting the Navy and Marine Corps' greatest challenges. As such, the </w:t>
      </w:r>
      <w:proofErr w:type="spellStart"/>
      <w:r w:rsidRPr="001F6825">
        <w:rPr>
          <w:rFonts w:asciiTheme="minorHAnsi" w:hAnsiTheme="minorHAnsi" w:cstheme="minorHAnsi"/>
          <w:sz w:val="22"/>
          <w:szCs w:val="22"/>
        </w:rPr>
        <w:t>DoN</w:t>
      </w:r>
      <w:proofErr w:type="spellEnd"/>
      <w:r w:rsidRPr="001F6825">
        <w:rPr>
          <w:rFonts w:asciiTheme="minorHAnsi" w:hAnsiTheme="minorHAnsi" w:cstheme="minorHAnsi"/>
          <w:sz w:val="22"/>
          <w:szCs w:val="22"/>
        </w:rPr>
        <w:t xml:space="preserve"> actively engages in efforts to improve STEM education in the United States.  The Naval STEM Coordination Office, located at the Office of Naval Research, under the leadership of the Chief of Naval Research as the Naval STEM Executive, serves as the central coordination and information resource for Naval STEM efforts. These efforts, implemented at naval commands and facilities, aim to:</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    - Inspire the next generation of scientists and engineers</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    - Engage students and build their STEM confidence and skills through hands-on learning activities that incorporate naval-relevant content</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    - Educate students to be well prepared for employment in STEM careers that support the Navy and Marine Corps</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    - Employ, retain and constantly develop naval STEM professionals</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    - Collaborate on STEM efforts across the </w:t>
      </w:r>
      <w:proofErr w:type="spellStart"/>
      <w:r w:rsidRPr="001F6825">
        <w:rPr>
          <w:rFonts w:asciiTheme="minorHAnsi" w:hAnsiTheme="minorHAnsi" w:cstheme="minorHAnsi"/>
          <w:sz w:val="22"/>
          <w:szCs w:val="22"/>
        </w:rPr>
        <w:t>DoN</w:t>
      </w:r>
      <w:proofErr w:type="spellEnd"/>
      <w:r w:rsidRPr="001F6825">
        <w:rPr>
          <w:rFonts w:asciiTheme="minorHAnsi" w:hAnsiTheme="minorHAnsi" w:cstheme="minorHAnsi"/>
          <w:sz w:val="22"/>
          <w:szCs w:val="22"/>
        </w:rPr>
        <w:t>, federal government and best practice organizations.</w:t>
      </w: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b/>
          <w:sz w:val="22"/>
          <w:szCs w:val="22"/>
        </w:rPr>
      </w:pPr>
      <w:r w:rsidRPr="001F6825">
        <w:rPr>
          <w:rFonts w:asciiTheme="minorHAnsi" w:hAnsiTheme="minorHAnsi" w:cstheme="minorHAnsi"/>
          <w:b/>
          <w:sz w:val="22"/>
          <w:szCs w:val="22"/>
        </w:rPr>
        <w:t>Summer Faculty Research and Sabbatical Leave Programs:</w:t>
      </w: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Both the Summer Faculty Research Program (SFRP) and Sabbatical Leave Program (SLP) provide an opportunity for faculty to participate in naval-relevant research at a </w:t>
      </w:r>
      <w:proofErr w:type="spellStart"/>
      <w:r w:rsidRPr="001F6825">
        <w:rPr>
          <w:rFonts w:asciiTheme="minorHAnsi" w:hAnsiTheme="minorHAnsi" w:cstheme="minorHAnsi"/>
          <w:sz w:val="22"/>
          <w:szCs w:val="22"/>
        </w:rPr>
        <w:t>DoN</w:t>
      </w:r>
      <w:proofErr w:type="spellEnd"/>
      <w:r w:rsidRPr="001F6825">
        <w:rPr>
          <w:rFonts w:asciiTheme="minorHAnsi" w:hAnsiTheme="minorHAnsi" w:cstheme="minorHAnsi"/>
          <w:sz w:val="22"/>
          <w:szCs w:val="22"/>
        </w:rPr>
        <w:t xml:space="preserve"> </w:t>
      </w:r>
      <w:proofErr w:type="gramStart"/>
      <w:r w:rsidRPr="001F6825">
        <w:rPr>
          <w:rFonts w:asciiTheme="minorHAnsi" w:hAnsiTheme="minorHAnsi" w:cstheme="minorHAnsi"/>
          <w:sz w:val="22"/>
          <w:szCs w:val="22"/>
        </w:rPr>
        <w:t>laboratory</w:t>
      </w:r>
      <w:proofErr w:type="gramEnd"/>
      <w:r w:rsidRPr="001F6825">
        <w:rPr>
          <w:rFonts w:asciiTheme="minorHAnsi" w:hAnsiTheme="minorHAnsi" w:cstheme="minorHAnsi"/>
          <w:sz w:val="22"/>
          <w:szCs w:val="22"/>
        </w:rPr>
        <w:t xml:space="preserve"> or warfare center.  While SLP participants conduct research on-site during the academic school year; SFRP participants are on-site May through August.  The goal for both programs is to engage faculty in research projects that contribute to the science and technology (S&amp;T) mission and vision for the U.S. Navy and the U.S. Marine Corps.</w:t>
      </w: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b/>
          <w:sz w:val="22"/>
          <w:szCs w:val="22"/>
        </w:rPr>
      </w:pPr>
      <w:r w:rsidRPr="001F6825">
        <w:rPr>
          <w:rFonts w:asciiTheme="minorHAnsi" w:hAnsiTheme="minorHAnsi" w:cstheme="minorHAnsi"/>
          <w:b/>
          <w:sz w:val="22"/>
          <w:szCs w:val="22"/>
        </w:rPr>
        <w:t>YIP, MURI, and DURIP:</w:t>
      </w: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 xml:space="preserve">The Young Investigator Program (YIP) seeks to identify and support academic scientists and engineers who are in their first or second full-time tenure-track or tenure-track-equivalent academic appointment and show exceptional promise for doing creative research. The program's objectives are to attract outstanding faculty members of Institutions of Higher Education (hereafter also called "universities") to the </w:t>
      </w:r>
      <w:proofErr w:type="spellStart"/>
      <w:r w:rsidRPr="001F6825">
        <w:rPr>
          <w:rFonts w:asciiTheme="minorHAnsi" w:hAnsiTheme="minorHAnsi" w:cstheme="minorHAnsi"/>
          <w:sz w:val="22"/>
          <w:szCs w:val="22"/>
        </w:rPr>
        <w:t>DoN's</w:t>
      </w:r>
      <w:proofErr w:type="spellEnd"/>
      <w:r w:rsidRPr="001F6825">
        <w:rPr>
          <w:rFonts w:asciiTheme="minorHAnsi" w:hAnsiTheme="minorHAnsi" w:cstheme="minorHAnsi"/>
          <w:sz w:val="22"/>
          <w:szCs w:val="22"/>
        </w:rPr>
        <w:t xml:space="preserve"> research program, to support their research, and to encourage their teaching and research careers.</w:t>
      </w: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The Department of Defense (</w:t>
      </w:r>
      <w:proofErr w:type="gramStart"/>
      <w:r w:rsidRPr="001F6825">
        <w:rPr>
          <w:rFonts w:asciiTheme="minorHAnsi" w:hAnsiTheme="minorHAnsi" w:cstheme="minorHAnsi"/>
          <w:sz w:val="22"/>
          <w:szCs w:val="22"/>
        </w:rPr>
        <w:t>DoD</w:t>
      </w:r>
      <w:proofErr w:type="gramEnd"/>
      <w:r w:rsidRPr="001F6825">
        <w:rPr>
          <w:rFonts w:asciiTheme="minorHAnsi" w:hAnsiTheme="minorHAnsi" w:cstheme="minorHAnsi"/>
          <w:sz w:val="22"/>
          <w:szCs w:val="22"/>
        </w:rPr>
        <w:t>) Multidisciplinary Research Program of the University Research Initiative (MURI) addresses high risk basic research and attempts to understand or achieve something that has never been done before. The program was initiated over 25 years ago and it has regularly produced significant scientific breakthroughs with far reaching consequences to the fields of science, economic growth, and revolutionary new military technologies.</w:t>
      </w:r>
    </w:p>
    <w:p w:rsidR="009C3D9E" w:rsidRPr="001F6825" w:rsidRDefault="009C3D9E" w:rsidP="009C3D9E">
      <w:pPr>
        <w:pStyle w:val="PlainText"/>
        <w:rPr>
          <w:rFonts w:asciiTheme="minorHAnsi" w:hAnsiTheme="minorHAnsi" w:cstheme="minorHAnsi"/>
          <w:sz w:val="22"/>
          <w:szCs w:val="22"/>
        </w:rPr>
      </w:pPr>
    </w:p>
    <w:p w:rsidR="009C3D9E" w:rsidRPr="001F6825" w:rsidRDefault="009C3D9E" w:rsidP="009C3D9E">
      <w:pPr>
        <w:pStyle w:val="PlainText"/>
        <w:rPr>
          <w:rFonts w:asciiTheme="minorHAnsi" w:hAnsiTheme="minorHAnsi" w:cstheme="minorHAnsi"/>
          <w:sz w:val="22"/>
          <w:szCs w:val="22"/>
        </w:rPr>
      </w:pPr>
      <w:r w:rsidRPr="001F6825">
        <w:rPr>
          <w:rFonts w:asciiTheme="minorHAnsi" w:hAnsiTheme="minorHAnsi" w:cstheme="minorHAnsi"/>
          <w:sz w:val="22"/>
          <w:szCs w:val="22"/>
        </w:rPr>
        <w:t>The DoD University Research Instrumentation Program (DURIP) is designed to improve the capabilities of accredited United States institutions of higher education to conduct research and to educate scientists and engineers in areas important to national defense, by providing funds for the acquisition of research equipment or instrumentation.</w:t>
      </w:r>
    </w:p>
    <w:p w:rsidR="009C3D9E" w:rsidRPr="001F6825" w:rsidRDefault="009C3D9E" w:rsidP="009C3D9E">
      <w:pPr>
        <w:rPr>
          <w:rFonts w:cstheme="minorHAnsi"/>
          <w:b/>
        </w:rPr>
      </w:pPr>
    </w:p>
    <w:p w:rsidR="009C3D9E" w:rsidRPr="001F6825" w:rsidRDefault="009C3D9E" w:rsidP="009C3D9E">
      <w:pPr>
        <w:rPr>
          <w:rFonts w:cstheme="minorHAnsi"/>
          <w:b/>
          <w:color w:val="FF0000"/>
          <w:u w:val="single"/>
        </w:rPr>
      </w:pPr>
      <w:r w:rsidRPr="001F6825">
        <w:rPr>
          <w:rFonts w:cstheme="minorHAnsi"/>
          <w:b/>
          <w:color w:val="FF0000"/>
          <w:u w:val="single"/>
        </w:rPr>
        <w:t>Student Meeting:</w:t>
      </w:r>
    </w:p>
    <w:p w:rsidR="009C3D9E" w:rsidRDefault="009C3D9E" w:rsidP="009C3D9E">
      <w:pPr>
        <w:rPr>
          <w:rFonts w:ascii="Minion Pro" w:hAnsi="Minion Pro" w:cs="Tahoma"/>
          <w:sz w:val="24"/>
          <w:szCs w:val="24"/>
        </w:rPr>
      </w:pPr>
      <w:r w:rsidRPr="001F6825">
        <w:rPr>
          <w:rFonts w:cstheme="minorHAnsi"/>
          <w:b/>
        </w:rPr>
        <w:t>Naval Research Lab Internship</w:t>
      </w:r>
      <w:proofErr w:type="gramStart"/>
      <w:r w:rsidRPr="001F6825">
        <w:rPr>
          <w:rFonts w:cstheme="minorHAnsi"/>
          <w:b/>
        </w:rPr>
        <w:t>:</w:t>
      </w:r>
      <w:proofErr w:type="gramEnd"/>
      <w:r w:rsidRPr="001F6825">
        <w:rPr>
          <w:rFonts w:cstheme="minorHAnsi"/>
        </w:rPr>
        <w:br/>
        <w:t xml:space="preserve">The </w:t>
      </w:r>
      <w:proofErr w:type="spellStart"/>
      <w:r w:rsidRPr="001F6825">
        <w:rPr>
          <w:rFonts w:cstheme="minorHAnsi"/>
        </w:rPr>
        <w:t>DoN</w:t>
      </w:r>
      <w:proofErr w:type="spellEnd"/>
      <w:r w:rsidRPr="001F6825">
        <w:rPr>
          <w:rFonts w:cstheme="minorHAnsi"/>
        </w:rPr>
        <w:t xml:space="preserve"> HBCU/MI U.S. Naval Research Laboratory (NRL) Internship Program brings students to Washington, DC for 10 weeks to conduct hands-on, doctoral-level research.  Students will gain invaluable experience and actively participate in innovative science and technology (S&amp;T) research.</w:t>
      </w:r>
      <w:r w:rsidRPr="001F6825">
        <w:rPr>
          <w:rFonts w:cstheme="minorHAnsi"/>
        </w:rPr>
        <w:br/>
      </w:r>
      <w:r w:rsidRPr="001F6825">
        <w:rPr>
          <w:rFonts w:cstheme="minorHAnsi"/>
        </w:rPr>
        <w:br/>
      </w:r>
      <w:r w:rsidRPr="001F6825">
        <w:rPr>
          <w:rFonts w:cstheme="minorHAnsi"/>
          <w:b/>
        </w:rPr>
        <w:t>NAVAIR Internship</w:t>
      </w:r>
      <w:proofErr w:type="gramStart"/>
      <w:r w:rsidRPr="001F6825">
        <w:rPr>
          <w:rFonts w:cstheme="minorHAnsi"/>
          <w:b/>
        </w:rPr>
        <w:t>:</w:t>
      </w:r>
      <w:proofErr w:type="gramEnd"/>
      <w:r w:rsidRPr="001F6825">
        <w:rPr>
          <w:rFonts w:cstheme="minorHAnsi"/>
        </w:rPr>
        <w:br/>
        <w:t xml:space="preserve">The </w:t>
      </w:r>
      <w:proofErr w:type="spellStart"/>
      <w:r w:rsidRPr="001F6825">
        <w:rPr>
          <w:rFonts w:cstheme="minorHAnsi"/>
        </w:rPr>
        <w:t>DoN</w:t>
      </w:r>
      <w:proofErr w:type="spellEnd"/>
      <w:r w:rsidRPr="001F6825">
        <w:rPr>
          <w:rFonts w:cstheme="minorHAnsi"/>
        </w:rPr>
        <w:t xml:space="preserve"> HBCU/MI Naval Air Systems Command (NAVAIR) Internship Program provides an opportunity for students to participate in research related to naval aviation at a </w:t>
      </w:r>
      <w:proofErr w:type="spellStart"/>
      <w:r w:rsidRPr="001F6825">
        <w:rPr>
          <w:rFonts w:cstheme="minorHAnsi"/>
        </w:rPr>
        <w:t>DoN</w:t>
      </w:r>
      <w:proofErr w:type="spellEnd"/>
      <w:r w:rsidRPr="001F6825">
        <w:rPr>
          <w:rFonts w:cstheme="minorHAnsi"/>
        </w:rPr>
        <w:t xml:space="preserve"> laboratory during the summer for 6 - 8 weeks.  Program interns will spend the summer under the guidance of a mentor at one of eight sites across the country.  Students will gain real-world, hands-on experience and research skills related to naval aviation S&amp;T challenges.</w:t>
      </w:r>
      <w:r w:rsidRPr="001F6825">
        <w:rPr>
          <w:rFonts w:cstheme="minorHAnsi"/>
        </w:rPr>
        <w:br/>
      </w:r>
      <w:r w:rsidRPr="001F6825">
        <w:rPr>
          <w:rFonts w:cstheme="minorHAnsi"/>
          <w:b/>
        </w:rPr>
        <w:br/>
        <w:t>Cybersecurity/IA Program</w:t>
      </w:r>
      <w:proofErr w:type="gramStart"/>
      <w:r w:rsidRPr="001F6825">
        <w:rPr>
          <w:rFonts w:cstheme="minorHAnsi"/>
          <w:b/>
        </w:rPr>
        <w:t>:</w:t>
      </w:r>
      <w:proofErr w:type="gramEnd"/>
      <w:r w:rsidRPr="001F6825">
        <w:rPr>
          <w:rFonts w:cstheme="minorHAnsi"/>
        </w:rPr>
        <w:br/>
        <w:t xml:space="preserve">The </w:t>
      </w:r>
      <w:proofErr w:type="spellStart"/>
      <w:r w:rsidRPr="001F6825">
        <w:rPr>
          <w:rFonts w:cstheme="minorHAnsi"/>
        </w:rPr>
        <w:t>DoN</w:t>
      </w:r>
      <w:proofErr w:type="spellEnd"/>
      <w:r w:rsidRPr="001F6825">
        <w:rPr>
          <w:rFonts w:cstheme="minorHAnsi"/>
        </w:rPr>
        <w:t xml:space="preserve"> HBCU/MI Cyber Security/Information Assurance (CS/IA) Program is designed to be the Navy's premier cyber outreach effort for undergraduate and graduate computer science/engineering students attending the nation's HBCU/MIs.  The program has two phases that include mentorship from January - April and an internship from May - August.  Students will work directly with the </w:t>
      </w:r>
      <w:proofErr w:type="spellStart"/>
      <w:r w:rsidRPr="001F6825">
        <w:rPr>
          <w:rFonts w:cstheme="minorHAnsi"/>
        </w:rPr>
        <w:t>DoN's</w:t>
      </w:r>
      <w:proofErr w:type="spellEnd"/>
      <w:r w:rsidRPr="001F6825">
        <w:rPr>
          <w:rFonts w:cstheme="minorHAnsi"/>
        </w:rPr>
        <w:t xml:space="preserve"> Space and Naval Warfare (SPAWAR) technical professionals on mission-critical cyber-related initiatives.</w:t>
      </w:r>
      <w:r w:rsidRPr="001F6825">
        <w:rPr>
          <w:rFonts w:cstheme="minorHAnsi"/>
        </w:rPr>
        <w:br/>
      </w:r>
      <w:r w:rsidRPr="001F6825">
        <w:rPr>
          <w:rFonts w:cstheme="minorHAnsi"/>
        </w:rPr>
        <w:br/>
      </w:r>
      <w:r w:rsidRPr="001F6825">
        <w:rPr>
          <w:rFonts w:cstheme="minorHAnsi"/>
          <w:b/>
        </w:rPr>
        <w:t>NAVSUP Internship</w:t>
      </w:r>
      <w:proofErr w:type="gramStart"/>
      <w:r w:rsidRPr="001F6825">
        <w:rPr>
          <w:rFonts w:cstheme="minorHAnsi"/>
          <w:b/>
        </w:rPr>
        <w:t>:</w:t>
      </w:r>
      <w:proofErr w:type="gramEnd"/>
      <w:r w:rsidRPr="001F6825">
        <w:rPr>
          <w:rFonts w:cstheme="minorHAnsi"/>
        </w:rPr>
        <w:br/>
        <w:t xml:space="preserve">The </w:t>
      </w:r>
      <w:proofErr w:type="spellStart"/>
      <w:r w:rsidRPr="001F6825">
        <w:rPr>
          <w:rFonts w:cstheme="minorHAnsi"/>
        </w:rPr>
        <w:t>DoN</w:t>
      </w:r>
      <w:proofErr w:type="spellEnd"/>
      <w:r w:rsidRPr="001F6825">
        <w:rPr>
          <w:rFonts w:cstheme="minorHAnsi"/>
        </w:rPr>
        <w:t xml:space="preserve"> HBCU/MI Naval Supply Systems Command (NAVSUP) Internship Program provides an opportunity for students to participate in a paid internship related to naval Data Science and Logistics Engineering at a </w:t>
      </w:r>
      <w:proofErr w:type="spellStart"/>
      <w:r w:rsidRPr="001F6825">
        <w:rPr>
          <w:rFonts w:cstheme="minorHAnsi"/>
        </w:rPr>
        <w:t>DoN</w:t>
      </w:r>
      <w:proofErr w:type="spellEnd"/>
      <w:r w:rsidRPr="001F6825">
        <w:rPr>
          <w:rFonts w:cstheme="minorHAnsi"/>
        </w:rPr>
        <w:t xml:space="preserve"> facility for 8 - 10 weeks during the summer.  The program allows competitively selected undergraduate students to conduct targeted business analytics studies in support of optimization and simulation of naval supply chain operations.</w:t>
      </w:r>
      <w:r w:rsidRPr="001F6825">
        <w:rPr>
          <w:rFonts w:cstheme="minorHAnsi"/>
        </w:rPr>
        <w:br/>
      </w:r>
      <w:r w:rsidRPr="001F6825">
        <w:rPr>
          <w:rFonts w:cstheme="minorHAnsi"/>
        </w:rPr>
        <w:br/>
      </w:r>
      <w:r w:rsidRPr="001F6825">
        <w:rPr>
          <w:rFonts w:cstheme="minorHAnsi"/>
          <w:b/>
        </w:rPr>
        <w:t>NREIP and SEAP</w:t>
      </w:r>
      <w:proofErr w:type="gramStart"/>
      <w:r w:rsidRPr="001F6825">
        <w:rPr>
          <w:rFonts w:cstheme="minorHAnsi"/>
          <w:b/>
        </w:rPr>
        <w:t>:</w:t>
      </w:r>
      <w:proofErr w:type="gramEnd"/>
      <w:r w:rsidRPr="001F6825">
        <w:rPr>
          <w:rFonts w:cstheme="minorHAnsi"/>
        </w:rPr>
        <w:br/>
        <w:t>The Naval Research Enterprise Internship Program (NREIP) is a 10-week research experience designed to provide undergraduate and graduate students with an opportunity to explore naval S&amp;T challenges under the guidance of a mentor at a participating naval laboratory or warfare center.</w:t>
      </w:r>
      <w:r w:rsidRPr="001F6825">
        <w:rPr>
          <w:rFonts w:cstheme="minorHAnsi"/>
        </w:rPr>
        <w:br/>
      </w:r>
      <w:r w:rsidRPr="001F6825">
        <w:rPr>
          <w:rFonts w:cstheme="minorHAnsi"/>
        </w:rPr>
        <w:br/>
        <w:t>The Science and Engineering Apprenticeship Program (SEAP) is an 8-week apprenticeship experience designed to provide opportunities for high school students, with interest in STEM, to work at a naval laboratory or warfare center.</w:t>
      </w:r>
      <w:r w:rsidRPr="001F6825">
        <w:rPr>
          <w:rFonts w:cstheme="minorHAnsi"/>
        </w:rPr>
        <w:br/>
      </w:r>
      <w:r w:rsidRPr="001F6825">
        <w:rPr>
          <w:rFonts w:cstheme="minorHAnsi"/>
        </w:rPr>
        <w:br/>
      </w:r>
      <w:r w:rsidRPr="001F6825">
        <w:rPr>
          <w:rFonts w:cstheme="minorHAnsi"/>
          <w:b/>
        </w:rPr>
        <w:t>SMART Scholarship:</w:t>
      </w:r>
      <w:r w:rsidRPr="001F6825">
        <w:rPr>
          <w:rFonts w:cstheme="minorHAnsi"/>
        </w:rPr>
        <w:br/>
        <w:t>The Science, Mathematics and Research for Transformation (SMART) Scholarship for Service Program was established by the Department of Defense (DoD) to support undergraduate and graduate students pursuing degrees in STEM disciplines.  The program provides full tuition and fees for up to five years at any accredited college or university.  Students also receive a stipend and an internship during the program and are expected to accept po</w:t>
      </w:r>
      <w:r>
        <w:t xml:space="preserve">st-graduate employment with </w:t>
      </w:r>
      <w:proofErr w:type="gramStart"/>
      <w:r>
        <w:t>DoD</w:t>
      </w:r>
      <w:proofErr w:type="gramEnd"/>
      <w:r>
        <w:t>.</w:t>
      </w:r>
    </w:p>
    <w:p w:rsidR="009C3D9E" w:rsidRDefault="009C3D9E" w:rsidP="0090205C">
      <w:pPr>
        <w:rPr>
          <w:rFonts w:ascii="Minion Pro" w:hAnsi="Minion Pro" w:cs="Tahoma"/>
          <w:sz w:val="24"/>
          <w:szCs w:val="24"/>
        </w:rPr>
      </w:pPr>
    </w:p>
    <w:p w:rsidR="006E54CB" w:rsidRPr="006E54CB" w:rsidRDefault="006E54CB" w:rsidP="0090205C">
      <w:pPr>
        <w:rPr>
          <w:rFonts w:ascii="Minion Pro" w:hAnsi="Minion Pro" w:cs="Tahoma"/>
          <w:sz w:val="24"/>
          <w:szCs w:val="24"/>
        </w:rPr>
      </w:pPr>
      <w:r>
        <w:rPr>
          <w:rFonts w:ascii="Minion Pro" w:hAnsi="Minion Pro" w:cs="Tahoma"/>
          <w:sz w:val="24"/>
          <w:szCs w:val="24"/>
        </w:rPr>
        <w:t xml:space="preserve">For further information, please contact OGCA, </w:t>
      </w:r>
      <w:hyperlink r:id="rId6" w:history="1">
        <w:r w:rsidRPr="00330FC2">
          <w:rPr>
            <w:rStyle w:val="Hyperlink"/>
            <w:rFonts w:ascii="Minion Pro" w:hAnsi="Minion Pro" w:cs="Tahoma"/>
            <w:sz w:val="24"/>
            <w:szCs w:val="24"/>
          </w:rPr>
          <w:t>uaf-ogca@alaska.edu</w:t>
        </w:r>
      </w:hyperlink>
      <w:r>
        <w:rPr>
          <w:rFonts w:ascii="Minion Pro" w:hAnsi="Minion Pro" w:cs="Tahoma"/>
          <w:sz w:val="24"/>
          <w:szCs w:val="24"/>
        </w:rPr>
        <w:t xml:space="preserve">. </w:t>
      </w:r>
    </w:p>
    <w:sectPr w:rsidR="006E54CB" w:rsidRPr="006E5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5000E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2289"/>
    <w:multiLevelType w:val="hybridMultilevel"/>
    <w:tmpl w:val="25E8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900369"/>
    <w:multiLevelType w:val="hybridMultilevel"/>
    <w:tmpl w:val="106E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E2"/>
    <w:rsid w:val="0000670E"/>
    <w:rsid w:val="000471E9"/>
    <w:rsid w:val="0007258F"/>
    <w:rsid w:val="000B68EB"/>
    <w:rsid w:val="00160C9C"/>
    <w:rsid w:val="002025D2"/>
    <w:rsid w:val="00253A46"/>
    <w:rsid w:val="003778A4"/>
    <w:rsid w:val="004945E2"/>
    <w:rsid w:val="006E54CB"/>
    <w:rsid w:val="00761439"/>
    <w:rsid w:val="0076369F"/>
    <w:rsid w:val="007B2F35"/>
    <w:rsid w:val="007D4A3E"/>
    <w:rsid w:val="00825E79"/>
    <w:rsid w:val="00874E62"/>
    <w:rsid w:val="008A21E5"/>
    <w:rsid w:val="0090205C"/>
    <w:rsid w:val="009C3D9E"/>
    <w:rsid w:val="00AA4A90"/>
    <w:rsid w:val="00F6167D"/>
    <w:rsid w:val="00F6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CEC1"/>
  <w15:docId w15:val="{94C240DE-B6AE-443D-BE2D-24C725A6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05C"/>
    <w:pPr>
      <w:ind w:left="720"/>
      <w:contextualSpacing/>
    </w:pPr>
  </w:style>
  <w:style w:type="paragraph" w:styleId="BalloonText">
    <w:name w:val="Balloon Text"/>
    <w:basedOn w:val="Normal"/>
    <w:link w:val="BalloonTextChar"/>
    <w:uiPriority w:val="99"/>
    <w:semiHidden/>
    <w:unhideWhenUsed/>
    <w:rsid w:val="000471E9"/>
    <w:rPr>
      <w:rFonts w:ascii="Tahoma" w:hAnsi="Tahoma" w:cs="Tahoma"/>
      <w:sz w:val="16"/>
      <w:szCs w:val="16"/>
    </w:rPr>
  </w:style>
  <w:style w:type="character" w:customStyle="1" w:styleId="BalloonTextChar">
    <w:name w:val="Balloon Text Char"/>
    <w:basedOn w:val="DefaultParagraphFont"/>
    <w:link w:val="BalloonText"/>
    <w:uiPriority w:val="99"/>
    <w:semiHidden/>
    <w:rsid w:val="000471E9"/>
    <w:rPr>
      <w:rFonts w:ascii="Tahoma" w:hAnsi="Tahoma" w:cs="Tahoma"/>
      <w:sz w:val="16"/>
      <w:szCs w:val="16"/>
    </w:rPr>
  </w:style>
  <w:style w:type="table" w:styleId="TableGrid">
    <w:name w:val="Table Grid"/>
    <w:basedOn w:val="TableNormal"/>
    <w:uiPriority w:val="39"/>
    <w:rsid w:val="00F6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A21E5"/>
    <w:rPr>
      <w:rFonts w:ascii="Tahoma" w:hAnsi="Tahoma"/>
      <w:sz w:val="24"/>
      <w:szCs w:val="21"/>
    </w:rPr>
  </w:style>
  <w:style w:type="character" w:customStyle="1" w:styleId="PlainTextChar">
    <w:name w:val="Plain Text Char"/>
    <w:basedOn w:val="DefaultParagraphFont"/>
    <w:link w:val="PlainText"/>
    <w:uiPriority w:val="99"/>
    <w:semiHidden/>
    <w:rsid w:val="008A21E5"/>
    <w:rPr>
      <w:rFonts w:ascii="Tahoma" w:hAnsi="Tahoma"/>
      <w:sz w:val="24"/>
      <w:szCs w:val="21"/>
    </w:rPr>
  </w:style>
  <w:style w:type="character" w:styleId="Hyperlink">
    <w:name w:val="Hyperlink"/>
    <w:basedOn w:val="DefaultParagraphFont"/>
    <w:uiPriority w:val="99"/>
    <w:unhideWhenUsed/>
    <w:rsid w:val="006E54CB"/>
    <w:rPr>
      <w:color w:val="0563C1" w:themeColor="hyperlink"/>
      <w:u w:val="single"/>
    </w:rPr>
  </w:style>
  <w:style w:type="character" w:customStyle="1" w:styleId="UnresolvedMention">
    <w:name w:val="Unresolved Mention"/>
    <w:basedOn w:val="DefaultParagraphFont"/>
    <w:uiPriority w:val="99"/>
    <w:semiHidden/>
    <w:unhideWhenUsed/>
    <w:rsid w:val="006E54CB"/>
    <w:rPr>
      <w:color w:val="808080"/>
      <w:shd w:val="clear" w:color="auto" w:fill="E6E6E6"/>
    </w:rPr>
  </w:style>
  <w:style w:type="table" w:styleId="LightList">
    <w:name w:val="Light List"/>
    <w:basedOn w:val="TableNormal"/>
    <w:uiPriority w:val="61"/>
    <w:rsid w:val="009C3D9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af-ogca@alask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Madnick</dc:creator>
  <cp:lastModifiedBy>Rosemary Madnick</cp:lastModifiedBy>
  <cp:revision>2</cp:revision>
  <dcterms:created xsi:type="dcterms:W3CDTF">2018-04-19T16:58:00Z</dcterms:created>
  <dcterms:modified xsi:type="dcterms:W3CDTF">2018-04-19T16:58:00Z</dcterms:modified>
</cp:coreProperties>
</file>