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77C74" w:rsidRPr="00EF53BE" w:rsidRDefault="004D48A2" w:rsidP="0022606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F53BE">
        <w:rPr>
          <w:rFonts w:asciiTheme="majorHAnsi" w:hAnsiTheme="majorHAnsi" w:cstheme="majorHAnsi"/>
          <w:b/>
          <w:sz w:val="28"/>
          <w:szCs w:val="28"/>
        </w:rPr>
        <w:t>UAF CRCD CARES Act: COVID-19 Funding Relief</w:t>
      </w:r>
    </w:p>
    <w:p w14:paraId="00000002" w14:textId="77777777" w:rsidR="00F77C74" w:rsidRPr="00EF53BE" w:rsidRDefault="004D48A2" w:rsidP="0022606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F53BE">
        <w:rPr>
          <w:rFonts w:asciiTheme="majorHAnsi" w:hAnsiTheme="majorHAnsi" w:cstheme="majorHAnsi"/>
          <w:b/>
          <w:sz w:val="28"/>
          <w:szCs w:val="28"/>
        </w:rPr>
        <w:t>“Strengthening Institutions Program and Minority Serving Institutions” Scholarship Funding Guidelines</w:t>
      </w:r>
    </w:p>
    <w:p w14:paraId="00000003" w14:textId="77777777" w:rsidR="00F77C74" w:rsidRPr="00EF53BE" w:rsidRDefault="00F77C74" w:rsidP="0022606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82D8A6" w14:textId="77777777" w:rsidR="00493ECD" w:rsidRPr="00EF53BE" w:rsidRDefault="004D48A2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The University of Alaska Fairbanks received funds provided by Congress under Section 18004 (a</w:t>
      </w:r>
      <w:proofErr w:type="gramStart"/>
      <w:r w:rsidRPr="00EF53BE">
        <w:rPr>
          <w:rFonts w:asciiTheme="majorHAnsi" w:hAnsiTheme="majorHAnsi" w:cstheme="majorHAnsi"/>
          <w:sz w:val="24"/>
          <w:szCs w:val="24"/>
        </w:rPr>
        <w:t>)(</w:t>
      </w:r>
      <w:proofErr w:type="gramEnd"/>
      <w:r w:rsidRPr="00EF53BE">
        <w:rPr>
          <w:rFonts w:asciiTheme="majorHAnsi" w:hAnsiTheme="majorHAnsi" w:cstheme="majorHAnsi"/>
          <w:sz w:val="24"/>
          <w:szCs w:val="24"/>
        </w:rPr>
        <w:t xml:space="preserve">2) of the CARES Act, “Strengthening Institutions Program and Minority Serving Institutions”. This funding provides support to higher education students affected during the COVID-19 pandemic. The College of Rural and Community Development (CRCD) will receive $250,000 of this distribution, in support of “Recruitment, Retention and/or Completions”. </w:t>
      </w:r>
    </w:p>
    <w:p w14:paraId="00000004" w14:textId="4DF29FF2" w:rsidR="00F77C74" w:rsidRPr="00EF53BE" w:rsidRDefault="00493ECD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The f</w:t>
      </w:r>
      <w:r w:rsidR="004D48A2" w:rsidRPr="00EF53BE">
        <w:rPr>
          <w:rFonts w:asciiTheme="majorHAnsi" w:hAnsiTheme="majorHAnsi" w:cstheme="majorHAnsi"/>
          <w:sz w:val="24"/>
          <w:szCs w:val="24"/>
        </w:rPr>
        <w:t xml:space="preserve">unding will be used to support student success through scholarships for Fiscal Year 2021. Each campus will receive a distribution amount of $40,000 and will be available July 1, 2020. A distribution method for departments that fall under the Rural College allocation will be determined by enrollment and/or student credit hour production.  </w:t>
      </w:r>
    </w:p>
    <w:p w14:paraId="2302FF3F" w14:textId="2495E500" w:rsidR="00493ECD" w:rsidRPr="00EF53BE" w:rsidRDefault="00493ECD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Eligible students may reapply for</w:t>
      </w:r>
      <w:r w:rsidR="002C1386">
        <w:rPr>
          <w:rFonts w:asciiTheme="majorHAnsi" w:hAnsiTheme="majorHAnsi" w:cstheme="majorHAnsi"/>
          <w:sz w:val="24"/>
          <w:szCs w:val="24"/>
        </w:rPr>
        <w:t xml:space="preserve"> CRCD</w:t>
      </w:r>
      <w:r w:rsidRPr="00EF53BE">
        <w:rPr>
          <w:rFonts w:asciiTheme="majorHAnsi" w:hAnsiTheme="majorHAnsi" w:cstheme="majorHAnsi"/>
          <w:sz w:val="24"/>
          <w:szCs w:val="24"/>
        </w:rPr>
        <w:t xml:space="preserve"> Scholars Award funding every semester through summer 2021 in which they are enrolled. </w:t>
      </w:r>
      <w:r w:rsidR="002C1386">
        <w:rPr>
          <w:rFonts w:asciiTheme="majorHAnsi" w:hAnsiTheme="majorHAnsi" w:cstheme="majorHAnsi"/>
          <w:sz w:val="24"/>
          <w:szCs w:val="24"/>
        </w:rPr>
        <w:t xml:space="preserve">The CRCD </w:t>
      </w:r>
      <w:r w:rsidRPr="00EF53BE">
        <w:rPr>
          <w:rFonts w:asciiTheme="majorHAnsi" w:hAnsiTheme="majorHAnsi" w:cstheme="majorHAnsi"/>
          <w:sz w:val="24"/>
          <w:szCs w:val="24"/>
        </w:rPr>
        <w:t>Scholars Award funding can be used to cover the following:</w:t>
      </w:r>
    </w:p>
    <w:p w14:paraId="49FBDAA3" w14:textId="77777777" w:rsidR="00493ECD" w:rsidRPr="00EF53BE" w:rsidRDefault="00493ECD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000006" w14:textId="77777777" w:rsidR="00F77C74" w:rsidRPr="00EF53BE" w:rsidRDefault="004D48A2" w:rsidP="002260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Tuition and fees</w:t>
      </w:r>
    </w:p>
    <w:p w14:paraId="00000007" w14:textId="77777777" w:rsidR="00F77C74" w:rsidRPr="00EF53BE" w:rsidRDefault="004D48A2" w:rsidP="0022606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Books and course materials</w:t>
      </w:r>
    </w:p>
    <w:p w14:paraId="00000008" w14:textId="77777777" w:rsidR="00F77C74" w:rsidRPr="00EF53BE" w:rsidRDefault="004D48A2" w:rsidP="002260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Admission application</w:t>
      </w:r>
      <w:r w:rsidRPr="00EF53BE">
        <w:rPr>
          <w:rFonts w:asciiTheme="majorHAnsi" w:hAnsiTheme="majorHAnsi" w:cstheme="majorHAnsi"/>
          <w:sz w:val="24"/>
          <w:szCs w:val="24"/>
        </w:rPr>
        <w:t xml:space="preserve"> fees</w:t>
      </w:r>
    </w:p>
    <w:p w14:paraId="00000009" w14:textId="77777777" w:rsidR="00F77C74" w:rsidRPr="00EF53BE" w:rsidRDefault="004D48A2" w:rsidP="002260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Housing</w:t>
      </w:r>
      <w:r w:rsidRPr="00EF53BE">
        <w:rPr>
          <w:rFonts w:asciiTheme="majorHAnsi" w:hAnsiTheme="majorHAnsi" w:cstheme="majorHAnsi"/>
          <w:sz w:val="24"/>
          <w:szCs w:val="24"/>
        </w:rPr>
        <w:t xml:space="preserve"> / Meals</w:t>
      </w:r>
    </w:p>
    <w:p w14:paraId="0000000A" w14:textId="77777777" w:rsidR="00F77C74" w:rsidRPr="00EF53BE" w:rsidRDefault="004D48A2" w:rsidP="002260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Graduation application</w:t>
      </w:r>
      <w:r w:rsidRPr="00EF53BE">
        <w:rPr>
          <w:rFonts w:asciiTheme="majorHAnsi" w:hAnsiTheme="majorHAnsi" w:cstheme="majorHAnsi"/>
          <w:sz w:val="24"/>
          <w:szCs w:val="24"/>
        </w:rPr>
        <w:t xml:space="preserve"> fees</w:t>
      </w:r>
    </w:p>
    <w:p w14:paraId="34B2EB96" w14:textId="77777777" w:rsidR="00226063" w:rsidRPr="00EF53BE" w:rsidRDefault="00226063" w:rsidP="0022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0B" w14:textId="7F00F619" w:rsidR="00F77C74" w:rsidRPr="00EF53BE" w:rsidRDefault="002C1386" w:rsidP="002260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The CRCD </w:t>
      </w:r>
      <w:r w:rsidR="00493ECD" w:rsidRPr="00EF53BE">
        <w:rPr>
          <w:rFonts w:asciiTheme="majorHAnsi" w:hAnsiTheme="majorHAnsi" w:cstheme="majorHAnsi"/>
          <w:b/>
          <w:sz w:val="24"/>
          <w:szCs w:val="24"/>
        </w:rPr>
        <w:t>Scholars Award funding</w:t>
      </w:r>
      <w:r w:rsidR="004D48A2" w:rsidRPr="00EF53BE">
        <w:rPr>
          <w:rFonts w:asciiTheme="majorHAnsi" w:hAnsiTheme="majorHAnsi" w:cstheme="majorHAnsi"/>
          <w:b/>
          <w:sz w:val="24"/>
          <w:szCs w:val="24"/>
        </w:rPr>
        <w:t xml:space="preserve"> MAY NOT be used to lift student holds or to pay off existing student debt. </w:t>
      </w:r>
    </w:p>
    <w:p w14:paraId="4F0497AF" w14:textId="77777777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000000C" w14:textId="77777777" w:rsidR="00F77C74" w:rsidRPr="00EF53BE" w:rsidRDefault="004D48A2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Students may receive up to but may not exceed the following amounts:</w:t>
      </w:r>
    </w:p>
    <w:p w14:paraId="03C3F86C" w14:textId="77777777" w:rsidR="00226063" w:rsidRPr="00EF53BE" w:rsidRDefault="004D48A2" w:rsidP="002260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Part-time students: $750 per semester (totaling $1,500 for FY21)</w:t>
      </w:r>
    </w:p>
    <w:p w14:paraId="69AF03B5" w14:textId="2526E3C7" w:rsidR="00226063" w:rsidRDefault="004D48A2" w:rsidP="0061206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color w:val="000000"/>
          <w:sz w:val="24"/>
          <w:szCs w:val="24"/>
        </w:rPr>
        <w:t>Full-time students: $1,500 per semester (totaling $3,000 for FY21)</w:t>
      </w:r>
    </w:p>
    <w:p w14:paraId="7CEB4C27" w14:textId="69D574D1" w:rsidR="002C1386" w:rsidRPr="002C1386" w:rsidRDefault="002C1386" w:rsidP="002C1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C1386">
        <w:rPr>
          <w:rFonts w:asciiTheme="majorHAnsi" w:hAnsiTheme="majorHAnsi" w:cstheme="majorHAnsi"/>
          <w:sz w:val="24"/>
          <w:szCs w:val="24"/>
        </w:rPr>
        <w:t>The minimum number of credits are as follows: 3-6 credits for part-time ($750) and 7+ credits for full-time ($1,500).</w:t>
      </w:r>
    </w:p>
    <w:p w14:paraId="7E3BE545" w14:textId="77777777" w:rsidR="00226063" w:rsidRPr="00EF53BE" w:rsidRDefault="00226063" w:rsidP="0022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869572F" w14:textId="67C21786" w:rsidR="009645CB" w:rsidRPr="00EF53BE" w:rsidRDefault="002C1386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CRCD Scholars A</w:t>
      </w:r>
      <w:r w:rsidR="00A12031" w:rsidRPr="00EF53BE">
        <w:rPr>
          <w:rFonts w:asciiTheme="majorHAnsi" w:hAnsiTheme="majorHAnsi" w:cstheme="majorHAnsi"/>
          <w:sz w:val="24"/>
          <w:szCs w:val="24"/>
        </w:rPr>
        <w:t xml:space="preserve">ward is available to degree seeking students enrolled in any CRCD degree program or attending through any rural campus in </w:t>
      </w:r>
      <w:r w:rsidR="000643D5">
        <w:rPr>
          <w:rFonts w:asciiTheme="majorHAnsi" w:hAnsiTheme="majorHAnsi" w:cstheme="majorHAnsi"/>
          <w:sz w:val="24"/>
          <w:szCs w:val="24"/>
        </w:rPr>
        <w:t xml:space="preserve">the </w:t>
      </w:r>
      <w:r w:rsidR="00A12031" w:rsidRPr="00EF53BE">
        <w:rPr>
          <w:rFonts w:asciiTheme="majorHAnsi" w:hAnsiTheme="majorHAnsi" w:cstheme="majorHAnsi"/>
          <w:sz w:val="24"/>
          <w:szCs w:val="24"/>
        </w:rPr>
        <w:t>Dillingham, Kotzebue, Bet</w:t>
      </w:r>
      <w:r w:rsidR="000643D5">
        <w:rPr>
          <w:rFonts w:asciiTheme="majorHAnsi" w:hAnsiTheme="majorHAnsi" w:cstheme="majorHAnsi"/>
          <w:sz w:val="24"/>
          <w:szCs w:val="24"/>
        </w:rPr>
        <w:t>hel, Nome, and Interior Alaska regions.</w:t>
      </w:r>
    </w:p>
    <w:p w14:paraId="1170C04F" w14:textId="77777777" w:rsidR="009645CB" w:rsidRPr="00EF53BE" w:rsidRDefault="009645CB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707EF47" w14:textId="77777777" w:rsidR="00226063" w:rsidRPr="00EF53BE" w:rsidRDefault="00A12031" w:rsidP="002260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 xml:space="preserve">Students must be admitted to UAF or have applied for University of Alaska Fairbanks admissions for the semester in which they are applying for funding. </w:t>
      </w:r>
    </w:p>
    <w:p w14:paraId="18182C1A" w14:textId="77777777" w:rsidR="00226063" w:rsidRPr="00EF53BE" w:rsidRDefault="00A12031" w:rsidP="002260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Students must be enrolled in at least 3 UAF credits</w:t>
      </w:r>
      <w:r w:rsidR="009645CB" w:rsidRPr="00EF53BE">
        <w:rPr>
          <w:rFonts w:asciiTheme="majorHAnsi" w:hAnsiTheme="majorHAnsi" w:cstheme="majorHAnsi"/>
          <w:sz w:val="24"/>
          <w:szCs w:val="24"/>
        </w:rPr>
        <w:t>.</w:t>
      </w:r>
    </w:p>
    <w:p w14:paraId="659F944A" w14:textId="10118A10" w:rsidR="002274A9" w:rsidRPr="002274A9" w:rsidRDefault="002274A9" w:rsidP="002260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274A9">
        <w:rPr>
          <w:rFonts w:asciiTheme="majorHAnsi" w:hAnsiTheme="majorHAnsi" w:cstheme="majorHAnsi"/>
          <w:color w:val="000000"/>
          <w:sz w:val="24"/>
          <w:szCs w:val="24"/>
        </w:rPr>
        <w:t>Students must submit a 2020/21 FAFSA (</w:t>
      </w:r>
      <w:hyperlink r:id="rId7" w:history="1">
        <w:r w:rsidRPr="002274A9">
          <w:rPr>
            <w:rStyle w:val="Hyperlink"/>
            <w:rFonts w:asciiTheme="majorHAnsi" w:hAnsiTheme="majorHAnsi" w:cstheme="majorHAnsi"/>
            <w:sz w:val="24"/>
            <w:szCs w:val="24"/>
          </w:rPr>
          <w:t>fafsa.ed.gov</w:t>
        </w:r>
      </w:hyperlink>
      <w:r w:rsidRPr="002274A9">
        <w:rPr>
          <w:rFonts w:asciiTheme="majorHAnsi" w:hAnsiTheme="majorHAnsi" w:cstheme="majorHAnsi"/>
          <w:color w:val="000000"/>
          <w:sz w:val="24"/>
          <w:szCs w:val="24"/>
        </w:rPr>
        <w:t>) to be considered for funding. Campuses and departments are responsible to ensure award eligibility within the University of Alaska system.</w:t>
      </w:r>
    </w:p>
    <w:p w14:paraId="73B5805D" w14:textId="33BCD656" w:rsidR="00155590" w:rsidRPr="00155590" w:rsidRDefault="00155590" w:rsidP="0015559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155590">
        <w:rPr>
          <w:rFonts w:asciiTheme="majorHAnsi" w:hAnsiTheme="majorHAnsi" w:cstheme="majorHAnsi"/>
          <w:sz w:val="24"/>
          <w:szCs w:val="24"/>
        </w:rPr>
        <w:t xml:space="preserve">If a student drops course(s) and falls below the minimum number of credits required, then the CRCD Scholars award will be reversed from the student’s account. </w:t>
      </w:r>
      <w:r w:rsidR="002C1386" w:rsidRPr="002C1386">
        <w:rPr>
          <w:rFonts w:asciiTheme="majorHAnsi" w:hAnsiTheme="majorHAnsi" w:cstheme="majorHAnsi"/>
          <w:sz w:val="24"/>
          <w:szCs w:val="24"/>
        </w:rPr>
        <w:t xml:space="preserve">Students must maintain CRCD Scholars </w:t>
      </w:r>
      <w:r w:rsidR="002C1386">
        <w:rPr>
          <w:rFonts w:asciiTheme="majorHAnsi" w:hAnsiTheme="majorHAnsi" w:cstheme="majorHAnsi"/>
          <w:sz w:val="24"/>
          <w:szCs w:val="24"/>
        </w:rPr>
        <w:t xml:space="preserve">Award enrollment requirements </w:t>
      </w:r>
      <w:proofErr w:type="gramStart"/>
      <w:r w:rsidR="002C1386">
        <w:rPr>
          <w:rFonts w:asciiTheme="majorHAnsi" w:hAnsiTheme="majorHAnsi" w:cstheme="majorHAnsi"/>
          <w:sz w:val="24"/>
          <w:szCs w:val="24"/>
        </w:rPr>
        <w:t xml:space="preserve">( </w:t>
      </w:r>
      <w:r w:rsidR="002C1386" w:rsidRPr="002C1386">
        <w:rPr>
          <w:rFonts w:asciiTheme="majorHAnsi" w:hAnsiTheme="majorHAnsi" w:cstheme="majorHAnsi"/>
          <w:sz w:val="24"/>
          <w:szCs w:val="24"/>
        </w:rPr>
        <w:t>&gt;</w:t>
      </w:r>
      <w:proofErr w:type="gramEnd"/>
      <w:r w:rsidR="002C1386" w:rsidRPr="002C1386">
        <w:rPr>
          <w:rFonts w:asciiTheme="majorHAnsi" w:hAnsiTheme="majorHAnsi" w:cstheme="majorHAnsi"/>
          <w:sz w:val="24"/>
          <w:szCs w:val="24"/>
        </w:rPr>
        <w:t xml:space="preserve"> 3 credits) to remain CRCD Scholars award eligible.  Students falling below minimum enrollment status at any </w:t>
      </w:r>
      <w:r w:rsidR="002C1386" w:rsidRPr="002C1386">
        <w:rPr>
          <w:rFonts w:asciiTheme="majorHAnsi" w:hAnsiTheme="majorHAnsi" w:cstheme="majorHAnsi"/>
          <w:sz w:val="24"/>
          <w:szCs w:val="24"/>
        </w:rPr>
        <w:lastRenderedPageBreak/>
        <w:t>time will subsequently result in CRCD Scholars award funds reversed from the student’s account.</w:t>
      </w:r>
    </w:p>
    <w:p w14:paraId="1ED90138" w14:textId="77777777" w:rsidR="009645CB" w:rsidRDefault="009645CB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5DB0BA9" w14:textId="77777777" w:rsidR="00EF53BE" w:rsidRPr="00EF53BE" w:rsidRDefault="00EF53BE" w:rsidP="00EF53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 xml:space="preserve">As agreed upon in the 6/8/2020 Director’s meeting, campuses/departments will be responsible for their own advertising and availability of the scholarship funding to their respective students.  </w:t>
      </w:r>
    </w:p>
    <w:p w14:paraId="6F5B5C43" w14:textId="77777777" w:rsidR="00EF53BE" w:rsidRPr="00EF53BE" w:rsidRDefault="00EF53BE" w:rsidP="00EF53B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EEF5893" w14:textId="77777777" w:rsidR="00EF53BE" w:rsidRPr="00EF53BE" w:rsidRDefault="00EF53BE" w:rsidP="00EF53B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bookmarkStart w:id="0" w:name="_gjdgxs" w:colFirst="0" w:colLast="0"/>
      <w:bookmarkEnd w:id="0"/>
      <w:r w:rsidRPr="00EF53BE">
        <w:rPr>
          <w:rFonts w:asciiTheme="majorHAnsi" w:hAnsiTheme="majorHAnsi" w:cstheme="majorHAnsi"/>
          <w:sz w:val="24"/>
          <w:szCs w:val="24"/>
        </w:rPr>
        <w:t>In December of 2020, CRCD will evaluate the overall expenditure activity and determine the availability of residual funds. If residual funds are identified, campuses/departments may request a supplemental distribution.</w:t>
      </w:r>
      <w:r w:rsidRPr="00EF53B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CC9D41C" w14:textId="77777777" w:rsidR="00EF53BE" w:rsidRPr="00EF53BE" w:rsidRDefault="00EF53BE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000010" w14:textId="2F31146D" w:rsidR="00F77C74" w:rsidRDefault="004D48A2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 xml:space="preserve">Campuses and departments will follow the same internal process of applying student aid to student accounts as the </w:t>
      </w:r>
      <w:r w:rsidR="00A12031" w:rsidRPr="00EF53BE">
        <w:rPr>
          <w:rFonts w:asciiTheme="majorHAnsi" w:hAnsiTheme="majorHAnsi" w:cstheme="majorHAnsi"/>
          <w:sz w:val="24"/>
          <w:szCs w:val="24"/>
        </w:rPr>
        <w:t>3% Recruitment and Retention</w:t>
      </w:r>
      <w:r w:rsidRPr="00EF53BE">
        <w:rPr>
          <w:rFonts w:asciiTheme="majorHAnsi" w:hAnsiTheme="majorHAnsi" w:cstheme="majorHAnsi"/>
          <w:sz w:val="24"/>
          <w:szCs w:val="24"/>
        </w:rPr>
        <w:t xml:space="preserve"> funding within CRCD. This includes individual campus and department evaluation processes before submitting scholarship memos to </w:t>
      </w:r>
      <w:r w:rsidR="009645CB" w:rsidRPr="00EF53BE">
        <w:rPr>
          <w:rFonts w:asciiTheme="majorHAnsi" w:hAnsiTheme="majorHAnsi" w:cstheme="majorHAnsi"/>
          <w:sz w:val="24"/>
          <w:szCs w:val="24"/>
        </w:rPr>
        <w:t>CRCD (</w:t>
      </w:r>
      <w:r w:rsidRPr="00EF53BE">
        <w:rPr>
          <w:rFonts w:asciiTheme="majorHAnsi" w:hAnsiTheme="majorHAnsi" w:cstheme="majorHAnsi"/>
          <w:sz w:val="24"/>
          <w:szCs w:val="24"/>
        </w:rPr>
        <w:t>Sheena Tanner</w:t>
      </w:r>
      <w:r w:rsidR="009645CB" w:rsidRPr="00EF53BE">
        <w:rPr>
          <w:rFonts w:asciiTheme="majorHAnsi" w:hAnsiTheme="majorHAnsi" w:cstheme="majorHAnsi"/>
          <w:sz w:val="24"/>
          <w:szCs w:val="24"/>
        </w:rPr>
        <w:t>)</w:t>
      </w:r>
      <w:r w:rsidRPr="00EF53BE">
        <w:rPr>
          <w:rFonts w:asciiTheme="majorHAnsi" w:hAnsiTheme="majorHAnsi" w:cstheme="majorHAnsi"/>
          <w:sz w:val="24"/>
          <w:szCs w:val="24"/>
        </w:rPr>
        <w:t xml:space="preserve"> for processing.</w:t>
      </w:r>
      <w:r w:rsidR="009645CB" w:rsidRPr="00EF53BE">
        <w:rPr>
          <w:rFonts w:asciiTheme="majorHAnsi" w:hAnsiTheme="majorHAnsi" w:cstheme="majorHAnsi"/>
          <w:sz w:val="24"/>
          <w:szCs w:val="24"/>
        </w:rPr>
        <w:t xml:space="preserve"> Following is an outline of the process:</w:t>
      </w:r>
    </w:p>
    <w:p w14:paraId="5F25B7F9" w14:textId="77777777" w:rsidR="00EF53BE" w:rsidRPr="00EF53BE" w:rsidRDefault="00EF53BE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0F91896" w14:textId="55771182" w:rsidR="009645CB" w:rsidRPr="00EF53BE" w:rsidRDefault="009645CB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Campus/</w:t>
      </w: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advisor receives scholarship request</w:t>
      </w:r>
    </w:p>
    <w:p w14:paraId="1C125A23" w14:textId="24338E87" w:rsidR="009645CB" w:rsidRPr="00EF53BE" w:rsidRDefault="009645CB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Campus/</w:t>
      </w: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reviews and either approves or denies the </w:t>
      </w:r>
      <w:r w:rsidR="00226063" w:rsidRPr="00EF53BE">
        <w:rPr>
          <w:rFonts w:asciiTheme="majorHAnsi" w:hAnsiTheme="majorHAnsi" w:cstheme="majorHAnsi"/>
          <w:sz w:val="24"/>
          <w:szCs w:val="24"/>
        </w:rPr>
        <w:t>scholarship</w:t>
      </w:r>
      <w:r w:rsidRPr="00EF53BE">
        <w:rPr>
          <w:rFonts w:asciiTheme="majorHAnsi" w:hAnsiTheme="majorHAnsi" w:cstheme="majorHAnsi"/>
          <w:sz w:val="24"/>
          <w:szCs w:val="24"/>
        </w:rPr>
        <w:t xml:space="preserve"> request</w:t>
      </w:r>
    </w:p>
    <w:p w14:paraId="00419AF7" w14:textId="1C7EBD63" w:rsidR="009645CB" w:rsidRDefault="00226063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Campus/</w:t>
      </w: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checks student </w:t>
      </w:r>
      <w:r w:rsidR="00A9773D">
        <w:rPr>
          <w:rFonts w:asciiTheme="majorHAnsi" w:hAnsiTheme="majorHAnsi" w:cstheme="majorHAnsi"/>
          <w:sz w:val="24"/>
          <w:szCs w:val="24"/>
        </w:rPr>
        <w:t>eligibility in banner screens RP</w:t>
      </w:r>
      <w:r w:rsidRPr="00EF53BE">
        <w:rPr>
          <w:rFonts w:asciiTheme="majorHAnsi" w:hAnsiTheme="majorHAnsi" w:cstheme="majorHAnsi"/>
          <w:sz w:val="24"/>
          <w:szCs w:val="24"/>
        </w:rPr>
        <w:t>AAWRD &amp; ROASTAT</w:t>
      </w:r>
    </w:p>
    <w:p w14:paraId="58C97C0E" w14:textId="0687811A" w:rsidR="000C5608" w:rsidRPr="00EF53BE" w:rsidRDefault="000C5608" w:rsidP="000C5608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You do not need to attach this back up to your tuition memo. Instead you can confirm on the memo that this process has been completed.</w:t>
      </w:r>
    </w:p>
    <w:p w14:paraId="2562A1DE" w14:textId="03C75289" w:rsidR="00226063" w:rsidRPr="00EF53BE" w:rsidRDefault="00226063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Campus/</w:t>
      </w: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prepares tuition waiver memo and submits to CRCD (Sheena Tanner)</w:t>
      </w:r>
    </w:p>
    <w:p w14:paraId="63B49D1F" w14:textId="215E197A" w:rsidR="00226063" w:rsidRDefault="00226063" w:rsidP="00226063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Example memo attached</w:t>
      </w:r>
    </w:p>
    <w:p w14:paraId="183F1B68" w14:textId="4FB1B9A0" w:rsidR="009E4C4B" w:rsidRPr="00EF53BE" w:rsidRDefault="009E4C4B" w:rsidP="00226063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Memos are submitted by semester and not by academic year</w:t>
      </w:r>
    </w:p>
    <w:p w14:paraId="32041046" w14:textId="60F114AF" w:rsidR="00226063" w:rsidRDefault="00226063" w:rsidP="00226063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Campus/</w:t>
      </w: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detail codes are below</w:t>
      </w:r>
    </w:p>
    <w:p w14:paraId="3969650D" w14:textId="19B1E5CC" w:rsidR="000C5608" w:rsidRPr="000C5608" w:rsidRDefault="000E2447" w:rsidP="000C5608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do not send copies of student application forms</w:t>
      </w:r>
    </w:p>
    <w:p w14:paraId="37F66D2E" w14:textId="0DB61BC6" w:rsidR="00226063" w:rsidRPr="00EF53BE" w:rsidRDefault="00226063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CRCD receives, reviews and logs tuition waiver memo</w:t>
      </w:r>
    </w:p>
    <w:p w14:paraId="1E542617" w14:textId="1946B045" w:rsidR="00226063" w:rsidRPr="00EF53BE" w:rsidRDefault="00226063" w:rsidP="00226063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 xml:space="preserve">CRCD submits tuition </w:t>
      </w:r>
      <w:r w:rsidR="001915E4">
        <w:rPr>
          <w:rFonts w:asciiTheme="majorHAnsi" w:hAnsiTheme="majorHAnsi" w:cstheme="majorHAnsi"/>
          <w:sz w:val="24"/>
          <w:szCs w:val="24"/>
        </w:rPr>
        <w:t>waiver memo</w:t>
      </w:r>
      <w:r w:rsidRPr="00EF53BE">
        <w:rPr>
          <w:rFonts w:asciiTheme="majorHAnsi" w:hAnsiTheme="majorHAnsi" w:cstheme="majorHAnsi"/>
          <w:sz w:val="24"/>
          <w:szCs w:val="24"/>
        </w:rPr>
        <w:t xml:space="preserve"> for keying</w:t>
      </w:r>
    </w:p>
    <w:p w14:paraId="6F68D9B2" w14:textId="77777777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272C23" w14:textId="63731A1D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The following detail codes must be used for the CRCD Scholars Award:</w:t>
      </w:r>
    </w:p>
    <w:p w14:paraId="5167DE08" w14:textId="77777777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BDAE6A" w14:textId="1BAA0A23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Bristol Bay Campus:</w:t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="00DD6345">
        <w:rPr>
          <w:rFonts w:asciiTheme="majorHAnsi" w:hAnsiTheme="majorHAnsi" w:cstheme="majorHAnsi"/>
          <w:sz w:val="24"/>
          <w:szCs w:val="24"/>
        </w:rPr>
        <w:tab/>
        <w:t>7</w:t>
      </w:r>
      <w:r w:rsidR="000E2447">
        <w:rPr>
          <w:rFonts w:asciiTheme="majorHAnsi" w:hAnsiTheme="majorHAnsi" w:cstheme="majorHAnsi"/>
          <w:sz w:val="24"/>
          <w:szCs w:val="24"/>
        </w:rPr>
        <w:t>CSA</w:t>
      </w:r>
    </w:p>
    <w:p w14:paraId="475A4989" w14:textId="6553ADBD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 xml:space="preserve">Chukchi Campus: </w:t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="00DD6345">
        <w:rPr>
          <w:rFonts w:asciiTheme="majorHAnsi" w:hAnsiTheme="majorHAnsi" w:cstheme="majorHAnsi"/>
          <w:sz w:val="24"/>
          <w:szCs w:val="24"/>
        </w:rPr>
        <w:tab/>
        <w:t>Z</w:t>
      </w:r>
      <w:r w:rsidR="000E2447">
        <w:rPr>
          <w:rFonts w:asciiTheme="majorHAnsi" w:hAnsiTheme="majorHAnsi" w:cstheme="majorHAnsi"/>
          <w:sz w:val="24"/>
          <w:szCs w:val="24"/>
        </w:rPr>
        <w:t>CSA</w:t>
      </w:r>
    </w:p>
    <w:p w14:paraId="0DA9B4E9" w14:textId="563D215F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Interior Alaska Campus:</w:t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="00DD6345">
        <w:rPr>
          <w:rFonts w:asciiTheme="majorHAnsi" w:hAnsiTheme="majorHAnsi" w:cstheme="majorHAnsi"/>
          <w:sz w:val="24"/>
          <w:szCs w:val="24"/>
        </w:rPr>
        <w:tab/>
        <w:t>8</w:t>
      </w:r>
      <w:r w:rsidR="000E2447">
        <w:rPr>
          <w:rFonts w:asciiTheme="majorHAnsi" w:hAnsiTheme="majorHAnsi" w:cstheme="majorHAnsi"/>
          <w:sz w:val="24"/>
          <w:szCs w:val="24"/>
        </w:rPr>
        <w:t>CSA</w:t>
      </w:r>
    </w:p>
    <w:p w14:paraId="5D5BAC47" w14:textId="02362111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Kuskokwim Campus:</w:t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="00DD6345">
        <w:rPr>
          <w:rFonts w:asciiTheme="majorHAnsi" w:hAnsiTheme="majorHAnsi" w:cstheme="majorHAnsi"/>
          <w:sz w:val="24"/>
          <w:szCs w:val="24"/>
        </w:rPr>
        <w:tab/>
        <w:t>L</w:t>
      </w:r>
      <w:r w:rsidR="000E2447">
        <w:rPr>
          <w:rFonts w:asciiTheme="majorHAnsi" w:hAnsiTheme="majorHAnsi" w:cstheme="majorHAnsi"/>
          <w:sz w:val="24"/>
          <w:szCs w:val="24"/>
        </w:rPr>
        <w:t>CSA</w:t>
      </w:r>
    </w:p>
    <w:p w14:paraId="3EE3C581" w14:textId="719F3DB3" w:rsidR="00226063" w:rsidRPr="00EF53BE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F53BE">
        <w:rPr>
          <w:rFonts w:asciiTheme="majorHAnsi" w:hAnsiTheme="majorHAnsi" w:cstheme="majorHAnsi"/>
          <w:sz w:val="24"/>
          <w:szCs w:val="24"/>
        </w:rPr>
        <w:t>Northwest Campus:</w:t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Pr="00EF53BE">
        <w:rPr>
          <w:rFonts w:asciiTheme="majorHAnsi" w:hAnsiTheme="majorHAnsi" w:cstheme="majorHAnsi"/>
          <w:sz w:val="24"/>
          <w:szCs w:val="24"/>
        </w:rPr>
        <w:tab/>
      </w:r>
      <w:r w:rsidR="00DD6345">
        <w:rPr>
          <w:rFonts w:asciiTheme="majorHAnsi" w:hAnsiTheme="majorHAnsi" w:cstheme="majorHAnsi"/>
          <w:sz w:val="24"/>
          <w:szCs w:val="24"/>
        </w:rPr>
        <w:tab/>
        <w:t>N</w:t>
      </w:r>
      <w:r w:rsidR="000E2447">
        <w:rPr>
          <w:rFonts w:asciiTheme="majorHAnsi" w:hAnsiTheme="majorHAnsi" w:cstheme="majorHAnsi"/>
          <w:sz w:val="24"/>
          <w:szCs w:val="24"/>
        </w:rPr>
        <w:t>CSA</w:t>
      </w:r>
    </w:p>
    <w:p w14:paraId="42D61856" w14:textId="47D40C6E" w:rsidR="00226063" w:rsidRPr="000F3E37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EF53BE">
        <w:rPr>
          <w:rFonts w:asciiTheme="majorHAnsi" w:hAnsiTheme="majorHAnsi" w:cstheme="majorHAnsi"/>
          <w:sz w:val="24"/>
          <w:szCs w:val="24"/>
        </w:rPr>
        <w:t>Dept</w:t>
      </w:r>
      <w:proofErr w:type="spellEnd"/>
      <w:r w:rsidRPr="00EF53BE">
        <w:rPr>
          <w:rFonts w:asciiTheme="majorHAnsi" w:hAnsiTheme="majorHAnsi" w:cstheme="majorHAnsi"/>
          <w:sz w:val="24"/>
          <w:szCs w:val="24"/>
        </w:rPr>
        <w:t xml:space="preserve"> of AK </w:t>
      </w:r>
      <w:r w:rsidRPr="000F3E37">
        <w:rPr>
          <w:rFonts w:asciiTheme="majorHAnsi" w:hAnsiTheme="majorHAnsi" w:cstheme="majorHAnsi"/>
          <w:sz w:val="24"/>
          <w:szCs w:val="24"/>
        </w:rPr>
        <w:t>Native &amp; Rural Dev:</w:t>
      </w:r>
      <w:r w:rsidR="00DD6345" w:rsidRPr="000F3E37">
        <w:rPr>
          <w:rFonts w:asciiTheme="majorHAnsi" w:hAnsiTheme="majorHAnsi" w:cstheme="majorHAnsi"/>
          <w:sz w:val="24"/>
          <w:szCs w:val="24"/>
        </w:rPr>
        <w:tab/>
        <w:t>1</w:t>
      </w:r>
      <w:r w:rsidR="000E2447" w:rsidRPr="000F3E37">
        <w:rPr>
          <w:rFonts w:asciiTheme="majorHAnsi" w:hAnsiTheme="majorHAnsi" w:cstheme="majorHAnsi"/>
          <w:sz w:val="24"/>
          <w:szCs w:val="24"/>
        </w:rPr>
        <w:t>DCS</w:t>
      </w:r>
    </w:p>
    <w:p w14:paraId="36F23C2E" w14:textId="36495174" w:rsidR="00226063" w:rsidRPr="000F3E37" w:rsidRDefault="002260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F3E37">
        <w:rPr>
          <w:rFonts w:asciiTheme="majorHAnsi" w:hAnsiTheme="majorHAnsi" w:cstheme="majorHAnsi"/>
          <w:sz w:val="24"/>
          <w:szCs w:val="24"/>
        </w:rPr>
        <w:t>Child Dev &amp; Family Studies:</w:t>
      </w:r>
      <w:r w:rsidRPr="000F3E37">
        <w:rPr>
          <w:rFonts w:asciiTheme="majorHAnsi" w:hAnsiTheme="majorHAnsi" w:cstheme="majorHAnsi"/>
          <w:sz w:val="24"/>
          <w:szCs w:val="24"/>
        </w:rPr>
        <w:tab/>
      </w:r>
      <w:r w:rsidRPr="000F3E37">
        <w:rPr>
          <w:rFonts w:asciiTheme="majorHAnsi" w:hAnsiTheme="majorHAnsi" w:cstheme="majorHAnsi"/>
          <w:sz w:val="24"/>
          <w:szCs w:val="24"/>
        </w:rPr>
        <w:tab/>
      </w:r>
      <w:r w:rsidR="00DD6345" w:rsidRPr="000F3E37">
        <w:rPr>
          <w:rFonts w:asciiTheme="majorHAnsi" w:hAnsiTheme="majorHAnsi" w:cstheme="majorHAnsi"/>
          <w:sz w:val="24"/>
          <w:szCs w:val="24"/>
        </w:rPr>
        <w:t>1</w:t>
      </w:r>
      <w:r w:rsidR="000E2447" w:rsidRPr="000F3E37">
        <w:rPr>
          <w:rFonts w:asciiTheme="majorHAnsi" w:hAnsiTheme="majorHAnsi" w:cstheme="majorHAnsi"/>
          <w:sz w:val="24"/>
          <w:szCs w:val="24"/>
        </w:rPr>
        <w:t>ECS</w:t>
      </w:r>
    </w:p>
    <w:p w14:paraId="587D10C0" w14:textId="77777777" w:rsidR="00EF53BE" w:rsidRPr="000F3E37" w:rsidRDefault="00EF53BE" w:rsidP="002260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0000013" w14:textId="1BC1E27C" w:rsidR="00F77C74" w:rsidRDefault="001E5663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1" w:name="_wglzhoym8s27" w:colFirst="0" w:colLast="0"/>
      <w:bookmarkEnd w:id="1"/>
      <w:r w:rsidRPr="000F3E37">
        <w:rPr>
          <w:sz w:val="24"/>
          <w:szCs w:val="24"/>
        </w:rPr>
        <w:t xml:space="preserve">More information about the Scholars Award and contact information is found online at:  </w:t>
      </w:r>
      <w:hyperlink r:id="rId8" w:history="1">
        <w:r w:rsidRPr="000F3E37">
          <w:rPr>
            <w:rStyle w:val="Hyperlink"/>
            <w:sz w:val="24"/>
            <w:szCs w:val="24"/>
          </w:rPr>
          <w:t>https://www.uaf.edu/rural/crcdscholars.php</w:t>
        </w:r>
      </w:hyperlink>
      <w:r w:rsidRPr="000F3E37">
        <w:rPr>
          <w:rStyle w:val="Hyperlink"/>
          <w:sz w:val="24"/>
          <w:szCs w:val="24"/>
          <w:u w:val="none"/>
        </w:rPr>
        <w:t xml:space="preserve">. </w:t>
      </w:r>
      <w:r w:rsidR="004D48A2" w:rsidRPr="000F3E37">
        <w:rPr>
          <w:rFonts w:asciiTheme="majorHAnsi" w:hAnsiTheme="majorHAnsi" w:cstheme="majorHAnsi"/>
          <w:sz w:val="24"/>
          <w:szCs w:val="24"/>
        </w:rPr>
        <w:t>Please</w:t>
      </w:r>
      <w:r w:rsidR="004D48A2" w:rsidRPr="00EF53BE">
        <w:rPr>
          <w:rFonts w:asciiTheme="majorHAnsi" w:hAnsiTheme="majorHAnsi" w:cstheme="majorHAnsi"/>
          <w:sz w:val="24"/>
          <w:szCs w:val="24"/>
        </w:rPr>
        <w:t xml:space="preserve"> contact Scott Culbertson at 907-474-1916 or </w:t>
      </w:r>
      <w:hyperlink r:id="rId9">
        <w:r w:rsidR="004D48A2" w:rsidRPr="00EF53BE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srculbertson@alaska.edu</w:t>
        </w:r>
      </w:hyperlink>
      <w:r w:rsidR="004D48A2" w:rsidRPr="00EF53BE">
        <w:rPr>
          <w:rFonts w:asciiTheme="majorHAnsi" w:hAnsiTheme="majorHAnsi" w:cstheme="majorHAnsi"/>
          <w:sz w:val="24"/>
          <w:szCs w:val="24"/>
        </w:rPr>
        <w:t xml:space="preserve"> if you have any questions.</w:t>
      </w:r>
    </w:p>
    <w:p w14:paraId="35C6B305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2CEA587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A604FA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919CF86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E3B2651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E39B4B6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6D6884D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39532F0" w14:textId="77777777" w:rsidR="000E2447" w:rsidRDefault="000E2447" w:rsidP="002260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2" w:name="_GoBack"/>
      <w:bookmarkEnd w:id="2"/>
    </w:p>
    <w:p w14:paraId="6CB0F64B" w14:textId="1291FC37" w:rsidR="000E2447" w:rsidRDefault="000E2447" w:rsidP="000E244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Tuition Waiver Memo Example</w:t>
      </w:r>
    </w:p>
    <w:p w14:paraId="5BE59BAC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5857E96" w14:textId="6208CDA5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Date: </w:t>
      </w:r>
      <w:r>
        <w:rPr>
          <w:rFonts w:asciiTheme="majorHAnsi" w:hAnsiTheme="majorHAnsi" w:cstheme="majorHAnsi"/>
          <w:sz w:val="24"/>
          <w:szCs w:val="24"/>
        </w:rPr>
        <w:tab/>
      </w:r>
      <w:r w:rsidR="009E4C4B">
        <w:rPr>
          <w:rFonts w:asciiTheme="majorHAnsi" w:hAnsiTheme="majorHAnsi" w:cstheme="majorHAnsi"/>
          <w:sz w:val="24"/>
          <w:szCs w:val="24"/>
        </w:rPr>
        <w:t>August 3, 2020</w:t>
      </w:r>
    </w:p>
    <w:p w14:paraId="18FC37D1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566CC1" w14:textId="3EF7D9F9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To:</w:t>
      </w:r>
      <w:r>
        <w:rPr>
          <w:rFonts w:asciiTheme="majorHAnsi" w:hAnsiTheme="majorHAnsi" w:cstheme="majorHAnsi"/>
          <w:sz w:val="24"/>
          <w:szCs w:val="24"/>
        </w:rPr>
        <w:tab/>
        <w:t>Sheena Tanner, CRCD Fiscal Manager</w:t>
      </w:r>
    </w:p>
    <w:p w14:paraId="1EF60AE5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D05B4D9" w14:textId="42F405EB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From:</w:t>
      </w:r>
      <w:r>
        <w:rPr>
          <w:rFonts w:asciiTheme="majorHAnsi" w:hAnsiTheme="majorHAnsi" w:cstheme="majorHAnsi"/>
          <w:sz w:val="24"/>
          <w:szCs w:val="24"/>
        </w:rPr>
        <w:tab/>
        <w:t>Campus/Department</w:t>
      </w:r>
    </w:p>
    <w:p w14:paraId="600CAEFC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FEA9BE" w14:textId="4678A75F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Re:</w:t>
      </w:r>
      <w:r>
        <w:rPr>
          <w:rFonts w:asciiTheme="majorHAnsi" w:hAnsiTheme="majorHAnsi" w:cstheme="majorHAnsi"/>
          <w:sz w:val="24"/>
          <w:szCs w:val="24"/>
        </w:rPr>
        <w:tab/>
        <w:t>CRCD Scholars Award – Tuition Waiver Memo</w:t>
      </w:r>
    </w:p>
    <w:p w14:paraId="3D4CCD9C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DB9CF37" w14:textId="79BC2150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Interior Alaska Campus will award tuition waivers to the following students for the fall 2020 semester.</w:t>
      </w:r>
    </w:p>
    <w:p w14:paraId="1DE7D5CD" w14:textId="77777777" w:rsidR="000C5608" w:rsidRDefault="000C5608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156F731" w14:textId="4055F9D4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Detail Code: 8CSA</w:t>
      </w:r>
    </w:p>
    <w:p w14:paraId="0DA4731C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980"/>
        <w:gridCol w:w="1350"/>
        <w:gridCol w:w="1260"/>
      </w:tblGrid>
      <w:tr w:rsidR="000E2447" w:rsidRPr="00961EA2" w14:paraId="29710CA3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60FE0EF0" w14:textId="77777777" w:rsidR="000E2447" w:rsidRPr="00961EA2" w:rsidRDefault="000E2447" w:rsidP="003A3E80">
            <w:pPr>
              <w:rPr>
                <w:b/>
                <w:bCs/>
                <w:color w:val="000000"/>
              </w:rPr>
            </w:pPr>
            <w:r w:rsidRPr="00961EA2">
              <w:rPr>
                <w:b/>
                <w:bCs/>
                <w:color w:val="000000"/>
              </w:rPr>
              <w:t>Last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8FEF1F" w14:textId="77777777" w:rsidR="000E2447" w:rsidRPr="00961EA2" w:rsidRDefault="000E2447" w:rsidP="003A3E80">
            <w:pPr>
              <w:rPr>
                <w:b/>
                <w:bCs/>
                <w:color w:val="000000"/>
              </w:rPr>
            </w:pPr>
            <w:r w:rsidRPr="00961EA2">
              <w:rPr>
                <w:b/>
                <w:bCs/>
                <w:color w:val="000000"/>
              </w:rPr>
              <w:t>First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5D53B3F" w14:textId="77777777" w:rsidR="000E2447" w:rsidRPr="00961EA2" w:rsidRDefault="000E2447" w:rsidP="003A3E80">
            <w:pPr>
              <w:rPr>
                <w:b/>
                <w:bCs/>
                <w:color w:val="000000"/>
              </w:rPr>
            </w:pPr>
            <w:r w:rsidRPr="00961EA2">
              <w:rPr>
                <w:b/>
                <w:bCs/>
                <w:color w:val="000000"/>
              </w:rPr>
              <w:t xml:space="preserve">      SID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4EC890" w14:textId="77777777" w:rsidR="000E2447" w:rsidRPr="00961EA2" w:rsidRDefault="000E2447" w:rsidP="003A3E80">
            <w:pPr>
              <w:jc w:val="center"/>
              <w:rPr>
                <w:b/>
                <w:bCs/>
                <w:color w:val="000000"/>
              </w:rPr>
            </w:pPr>
            <w:r w:rsidRPr="00961EA2">
              <w:rPr>
                <w:b/>
                <w:bCs/>
                <w:color w:val="000000"/>
              </w:rPr>
              <w:t>Amount</w:t>
            </w:r>
          </w:p>
        </w:tc>
      </w:tr>
      <w:tr w:rsidR="000E2447" w:rsidRPr="00961EA2" w14:paraId="2EA89DB8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70FE9843" w14:textId="69A9DB72" w:rsidR="000E2447" w:rsidRPr="00631D88" w:rsidRDefault="000E2447" w:rsidP="003A3E8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2243461" w14:textId="0D509018" w:rsidR="000E2447" w:rsidRPr="00631D88" w:rsidRDefault="000E2447" w:rsidP="003A3E8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Jane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1FA58C2" w14:textId="6027E6F1" w:rsidR="000E2447" w:rsidRPr="00631D88" w:rsidRDefault="000E2447" w:rsidP="003A3E8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30000000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C2BFD7E" w14:textId="4818CF52" w:rsidR="000E2447" w:rsidRPr="00631D88" w:rsidRDefault="000E2447" w:rsidP="003A3E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$1,500.00</w:t>
            </w:r>
          </w:p>
        </w:tc>
      </w:tr>
      <w:tr w:rsidR="000E2447" w:rsidRPr="00961EA2" w14:paraId="23559AF6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15B7789C" w14:textId="0E6F7183" w:rsidR="000E2447" w:rsidRPr="00631D88" w:rsidRDefault="000E2447" w:rsidP="003A3E80">
            <w:pPr>
              <w:rPr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A9AA734" w14:textId="73F99B7B" w:rsidR="000E2447" w:rsidRPr="00631D88" w:rsidRDefault="000E2447" w:rsidP="003A3E80">
            <w:pPr>
              <w:rPr>
                <w:color w:val="000000"/>
              </w:rPr>
            </w:pPr>
            <w:r>
              <w:rPr>
                <w:color w:val="000000"/>
              </w:rPr>
              <w:t>Jack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A0D4803" w14:textId="71AA514B" w:rsidR="000E2447" w:rsidRPr="00631D88" w:rsidRDefault="000E2447" w:rsidP="003A3E80">
            <w:pPr>
              <w:rPr>
                <w:color w:val="000000"/>
              </w:rPr>
            </w:pPr>
            <w:r>
              <w:rPr>
                <w:color w:val="000000"/>
              </w:rPr>
              <w:t>30000001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A9077ED" w14:textId="746D32F5" w:rsidR="000E2447" w:rsidRPr="00631D88" w:rsidRDefault="000E2447" w:rsidP="003A3E8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$750.00</w:t>
            </w:r>
          </w:p>
        </w:tc>
      </w:tr>
      <w:tr w:rsidR="000E2447" w:rsidRPr="00961EA2" w14:paraId="24BB3577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0205B624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02930EF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74720F6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EC84992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138D1776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1E070050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DA3BFC1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DFFF58D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F7C0308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6DE832F8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0695742D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E969C91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30145AF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2DB30B4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4ABBF732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6EC269E4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36538F4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D46BC7C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DB9C4B4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38B76F0B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025C0CA7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05E0BF5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2FD6CB4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F4016CC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5850230D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7091AE7F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FE02BC2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FB816C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CA1052B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  <w:tr w:rsidR="000E2447" w:rsidRPr="00961EA2" w14:paraId="0942AB23" w14:textId="77777777" w:rsidTr="00117F3F">
        <w:trPr>
          <w:trHeight w:hRule="exact" w:val="288"/>
        </w:trPr>
        <w:tc>
          <w:tcPr>
            <w:tcW w:w="1885" w:type="dxa"/>
            <w:shd w:val="clear" w:color="000000" w:fill="FFFFFF"/>
            <w:noWrap/>
            <w:vAlign w:val="bottom"/>
          </w:tcPr>
          <w:p w14:paraId="25C7F604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0335BD5E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FAE5E52" w14:textId="77777777" w:rsidR="000E2447" w:rsidRDefault="000E2447" w:rsidP="003A3E80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F6538D9" w14:textId="77777777" w:rsidR="000E2447" w:rsidRDefault="000E2447" w:rsidP="003A3E80">
            <w:pPr>
              <w:jc w:val="center"/>
              <w:rPr>
                <w:bCs/>
                <w:color w:val="000000"/>
              </w:rPr>
            </w:pPr>
          </w:p>
        </w:tc>
      </w:tr>
    </w:tbl>
    <w:p w14:paraId="78E0BEA1" w14:textId="77777777" w:rsidR="000E2447" w:rsidRDefault="000E2447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CBDB63" w14:textId="77777777" w:rsidR="000C5608" w:rsidRDefault="000C5608" w:rsidP="000C560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B9592F9" w14:textId="06289F89" w:rsidR="000C5608" w:rsidRPr="00EF53BE" w:rsidRDefault="000C5608" w:rsidP="000E24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cam</w:t>
      </w:r>
      <w:r w:rsidR="00D36DB5">
        <w:rPr>
          <w:rFonts w:asciiTheme="majorHAnsi" w:hAnsiTheme="majorHAnsi" w:cstheme="majorHAnsi"/>
          <w:sz w:val="24"/>
          <w:szCs w:val="24"/>
        </w:rPr>
        <w:t>pus certifies that each student</w:t>
      </w:r>
      <w:r>
        <w:rPr>
          <w:rFonts w:asciiTheme="majorHAnsi" w:hAnsiTheme="majorHAnsi" w:cstheme="majorHAnsi"/>
          <w:sz w:val="24"/>
          <w:szCs w:val="24"/>
        </w:rPr>
        <w:t xml:space="preserve"> is enrolled for the above term and that student eligibility has been confirmed by checking banner screens </w:t>
      </w:r>
      <w:r w:rsidR="00721D2B">
        <w:rPr>
          <w:rFonts w:asciiTheme="majorHAnsi" w:hAnsiTheme="majorHAnsi" w:cstheme="majorHAnsi"/>
          <w:sz w:val="24"/>
          <w:szCs w:val="24"/>
        </w:rPr>
        <w:t>RP</w:t>
      </w:r>
      <w:r w:rsidRPr="00EF53BE">
        <w:rPr>
          <w:rFonts w:asciiTheme="majorHAnsi" w:hAnsiTheme="majorHAnsi" w:cstheme="majorHAnsi"/>
          <w:sz w:val="24"/>
          <w:szCs w:val="24"/>
        </w:rPr>
        <w:t>AAWRD &amp; ROASTAT</w:t>
      </w:r>
      <w:r>
        <w:rPr>
          <w:rFonts w:asciiTheme="majorHAnsi" w:hAnsiTheme="majorHAnsi" w:cstheme="majorHAnsi"/>
          <w:sz w:val="24"/>
          <w:szCs w:val="24"/>
        </w:rPr>
        <w:t>.</w:t>
      </w:r>
    </w:p>
    <w:sectPr w:rsidR="000C5608" w:rsidRPr="00EF53BE">
      <w:footerReference w:type="default" r:id="rId10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5B74A" w14:textId="77777777" w:rsidR="00334A00" w:rsidRDefault="00334A00" w:rsidP="00D212B7">
      <w:pPr>
        <w:spacing w:after="0" w:line="240" w:lineRule="auto"/>
      </w:pPr>
      <w:r>
        <w:separator/>
      </w:r>
    </w:p>
  </w:endnote>
  <w:endnote w:type="continuationSeparator" w:id="0">
    <w:p w14:paraId="4E3A10BC" w14:textId="77777777" w:rsidR="00334A00" w:rsidRDefault="00334A00" w:rsidP="00D2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750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5C3A7" w14:textId="0DACB845" w:rsidR="00D212B7" w:rsidRDefault="00D21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CE23F" w14:textId="77777777" w:rsidR="00D212B7" w:rsidRDefault="00D21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685F4" w14:textId="77777777" w:rsidR="00334A00" w:rsidRDefault="00334A00" w:rsidP="00D212B7">
      <w:pPr>
        <w:spacing w:after="0" w:line="240" w:lineRule="auto"/>
      </w:pPr>
      <w:r>
        <w:separator/>
      </w:r>
    </w:p>
  </w:footnote>
  <w:footnote w:type="continuationSeparator" w:id="0">
    <w:p w14:paraId="7A5B3046" w14:textId="77777777" w:rsidR="00334A00" w:rsidRDefault="00334A00" w:rsidP="00D2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C45"/>
    <w:multiLevelType w:val="multilevel"/>
    <w:tmpl w:val="20A4B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02504"/>
    <w:multiLevelType w:val="multilevel"/>
    <w:tmpl w:val="762A9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055C4F"/>
    <w:multiLevelType w:val="hybridMultilevel"/>
    <w:tmpl w:val="9BC0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466C"/>
    <w:multiLevelType w:val="hybridMultilevel"/>
    <w:tmpl w:val="C3D0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5B55"/>
    <w:multiLevelType w:val="multilevel"/>
    <w:tmpl w:val="20A4B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200E2C"/>
    <w:multiLevelType w:val="hybridMultilevel"/>
    <w:tmpl w:val="B246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74"/>
    <w:rsid w:val="000643D5"/>
    <w:rsid w:val="000C5608"/>
    <w:rsid w:val="000E2447"/>
    <w:rsid w:val="000F3E37"/>
    <w:rsid w:val="00111184"/>
    <w:rsid w:val="00117F3F"/>
    <w:rsid w:val="001365A0"/>
    <w:rsid w:val="00155590"/>
    <w:rsid w:val="001653D6"/>
    <w:rsid w:val="001915E4"/>
    <w:rsid w:val="001E5663"/>
    <w:rsid w:val="00226063"/>
    <w:rsid w:val="002274A9"/>
    <w:rsid w:val="002C1386"/>
    <w:rsid w:val="002E0002"/>
    <w:rsid w:val="00334A00"/>
    <w:rsid w:val="00402182"/>
    <w:rsid w:val="0045459F"/>
    <w:rsid w:val="00493ECD"/>
    <w:rsid w:val="004D48A2"/>
    <w:rsid w:val="0061206C"/>
    <w:rsid w:val="00721D2B"/>
    <w:rsid w:val="00896476"/>
    <w:rsid w:val="008E6D6A"/>
    <w:rsid w:val="009645CB"/>
    <w:rsid w:val="009C4AB3"/>
    <w:rsid w:val="009C5DC7"/>
    <w:rsid w:val="009E4C4B"/>
    <w:rsid w:val="00A12031"/>
    <w:rsid w:val="00A9773D"/>
    <w:rsid w:val="00AA4E6F"/>
    <w:rsid w:val="00D212B7"/>
    <w:rsid w:val="00D36DB5"/>
    <w:rsid w:val="00DD6345"/>
    <w:rsid w:val="00EF53BE"/>
    <w:rsid w:val="00F77C74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A78D6-97FC-40B3-B56E-26588C9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3E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B7"/>
  </w:style>
  <w:style w:type="paragraph" w:styleId="Footer">
    <w:name w:val="footer"/>
    <w:basedOn w:val="Normal"/>
    <w:link w:val="FooterChar"/>
    <w:uiPriority w:val="99"/>
    <w:unhideWhenUsed/>
    <w:rsid w:val="00D2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B7"/>
  </w:style>
  <w:style w:type="character" w:styleId="Hyperlink">
    <w:name w:val="Hyperlink"/>
    <w:basedOn w:val="DefaultParagraphFont"/>
    <w:uiPriority w:val="99"/>
    <w:unhideWhenUsed/>
    <w:rsid w:val="001E56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6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f.edu/rural/crcdscholar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fsa.ed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rculbertson@alask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Sheena C Tanner</cp:lastModifiedBy>
  <cp:revision>22</cp:revision>
  <dcterms:created xsi:type="dcterms:W3CDTF">2020-06-24T20:17:00Z</dcterms:created>
  <dcterms:modified xsi:type="dcterms:W3CDTF">2020-11-09T18:45:00Z</dcterms:modified>
</cp:coreProperties>
</file>